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ascii="宋体" w:hAnsi="宋体"/>
          <w:sz w:val="30"/>
          <w:szCs w:val="30"/>
        </w:rPr>
      </w:pPr>
      <w:bookmarkStart w:id="0" w:name="_GoBack"/>
      <w:r>
        <w:rPr>
          <w:rFonts w:hint="eastAsia" w:ascii="宋体" w:hAnsi="宋体"/>
          <w:sz w:val="30"/>
          <w:szCs w:val="30"/>
        </w:rPr>
        <w:t>附件：招聘岗位及专业</w:t>
      </w:r>
    </w:p>
    <w:bookmarkEnd w:id="0"/>
    <w:tbl>
      <w:tblPr>
        <w:tblStyle w:val="3"/>
        <w:tblpPr w:leftFromText="180" w:rightFromText="180" w:vertAnchor="text" w:horzAnchor="margin" w:tblpXSpec="center" w:tblpY="225"/>
        <w:tblW w:w="79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09"/>
        <w:gridCol w:w="4220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招聘专业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学历要求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电气类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电力系统及其自动化、电气工程及其自动化、高电压与绝缘技术、电机与电器、电工理论与新技术、输电线路工程、发电厂及电力系统、供用电技术、电力系统继电保护与自动化、高压输配电线路施工运行与维护、自动化（强电）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大学专科及以上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计算机类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计算机科学与技术、网络工程、软件工程、计算机软件、计算机软件与理论、计算机应用技术、计算机系统结构、信息安全等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通信类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通信工程、电子信息工程、电子科学与技术、信息科学技术、电气信息工程、光信息科学与技术、通信与信息系统、信号与信息处理等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环境化学类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化学、应用化学等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测控类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测控技术与仪器、测试计量技术及仪器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市场营销类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市场营销、电力市场营销等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工程管理类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技术经济、电力工程与管理、工程造价等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土建水文类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建筑学、土木工程等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物流管理类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物流管理、物流工程等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工商管理类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工商管理、企业管理、人力资源管理等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公共管理类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行政管理、公共事业管理、劳动与社会保障、劳动关系、档案学、信息资源管理、保密等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经济类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经济学、财政学、金融学等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财会审计类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会计学、财务管理、审计学、税务等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法学类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法学、民商法学、经济法学、思想政治教育等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新闻类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新闻学、广播电视新闻学、传播学等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语言文学类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汉语言文学、中国现当代文学等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大学本科及以上</w:t>
            </w:r>
          </w:p>
        </w:tc>
      </w:tr>
    </w:tbl>
    <w:p>
      <w:pPr>
        <w:rPr>
          <w:rFonts w:ascii="宋体" w:hAnsi="宋体"/>
          <w:sz w:val="30"/>
          <w:szCs w:val="30"/>
        </w:rPr>
      </w:pPr>
    </w:p>
    <w:p/>
    <w:sectPr>
      <w:pgSz w:w="11906" w:h="16838"/>
      <w:pgMar w:top="1560" w:right="1558" w:bottom="1702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2134A"/>
    <w:rsid w:val="6D82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2017-11-08T08:57:00Z</dcterms:created>
  <dc:creator>淑敏</dc:creator>
  <cp:lastModifiedBy>淑敏</cp:lastModifiedBy>
  <dcterms:modified xsi:type="dcterms:W3CDTF">2017-11-08T08:58:35Z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