
<file path=[Content_Types].xml><?xml version="1.0" encoding="utf-8"?>
<Types xmlns="http://schemas.openxmlformats.org/package/2006/content-types">
  <Default ContentType="image/png" Extension="png"/>
  <Default ContentType="image/png" Extension="tmp"/>
  <Default ContentType="image/jpeg" Extension="jpeg"/>
  <Default ContentType="image/jpeg" Extension="jpg!d"/>
  <Default ContentType="image/jpg" Extension="jpg"/>
  <Default ContentType="image/webp" Extension="webp"/>
  <Default ContentType="image/bmp" Extension="bmp"/>
  <Default ContentType="image/gif" Extension="gif"/>
  <Default ContentType="image/tiff" Extension="tiff"/>
  <Default ContentType="image/x-wmf" Extension="wmf"/>
  <Default ContentType="image/x-wmf" Extension="bin"/>
  <Default ContentType="image/x-emf" Extension="emf"/>
  <Default ContentType="image/aces" Extension="exr"/>
  <Default ContentType="image/x-icon" Extension="ico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 <Relationship Id="rId1" Type="http://schemas.openxmlformats.org/package/2006/relationships/metadata/core-properties" Target="docProps/core.xml" />
  <Relationship Id="rId2" Type="http://schemas.openxmlformats.org/officeDocument/2006/relationships/extended-properties" Target="docProps/app.xml" />
  <Relationship Id="rId3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15="http://schemas.microsoft.com/office/word/2012/wordml" mc:Ignorable="w14 w15 wp14">
  <w:body>
    <w:p>
      <w:pPr>
        <w:pStyle w:val="dingding-heading1"/>
      </w:pPr>
      <w:r>
        <w:rPr>
          <w:sz w:val="48"/>
          <w:b w:val="1"/>
        </w:rPr>
        <w:t xml:space="preserve">27届-各学校招聘简章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一、【集团介绍】 </w:t>
      </w:r>
    </w:p>
    <w:p>
      <w:pPr>
        <w:ind w:firstLine="360" w:firstLineChars="200"/>
        <w:jc w:val="left"/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  <w:b w:val="0"/>
        </w:rPr>
        <w:t xml:space="preserve">银泰商业集团专注为国内百货及购物中心进行专业化的运营管理，具有28年的商业零售运营管理经验，在营业面积、经营业绩和业务创新能力方面皆稳居行业领先地位。 </w:t>
      </w:r>
    </w:p>
    <w:p>
      <w:pPr>
        <w:ind/>
        <w:jc w:val="left"/>
      </w:pPr>
      <w:r>
        <w:rPr>
          <w:sz w:val="18"/>
          <w:rFonts w:ascii="微软雅黑" w:hAnsi="微软雅黑" w:cs="微软雅黑" w:eastAsia="微软雅黑" w:hint="eastAsia"/>
          <w:b w:val="0"/>
        </w:rPr>
        <w:t xml:space="preserve">       截至2025年12月底，银泰商业集团的商业版图已覆盖全国8大省份，包括杭州、宁波、北京、武汉、西安等28座重点城市。同时，银泰商业集团持续推进数字化升级，凭借独特的“数字化+深度服务”模式和在关键品类的管理能力，持续以高品质消费场景引领城市商业升级，为消费者打造前沿的购物体验与生活方式。</w:t>
      </w:r>
    </w:p>
    <w:p>
      <w:pPr>
        <w:rPr>
          <w:sz w:val="20"/>
        </w:rPr>
      </w:pPr>
      <w:r/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二、【校招项目】</w:t>
      </w:r>
    </w:p>
    <w:p>
      <w:pPr>
        <w:ind w:firstLine="360" w:firstLineChars="200"/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  <w:b w:val="1"/>
        </w:rPr>
        <w:t xml:space="preserve">银泰星项目</w:t>
      </w:r>
      <w:r>
        <w:rPr>
          <w:sz w:val="18"/>
          <w:rFonts w:ascii="微软雅黑" w:hAnsi="微软雅黑" w:cs="微软雅黑" w:eastAsia="微软雅黑" w:hint="eastAsia"/>
          <w:b w:val="0"/>
        </w:rPr>
        <w:t xml:space="preserve">秉承精英招聘理念，定位海内外高校的优秀同学，提供成为创新项目主理人的机会以及定制化培养方案，为银泰百货的未来发展储备门店店总、中高层管理人才。</w:t>
      </w:r>
    </w:p>
    <w:p>
      <w:pPr>
        <w:ind w:firstLine="360" w:firstLineChars="200"/>
      </w:pPr>
      <w:r>
        <w:rPr>
          <w:sz w:val="18"/>
          <w:rFonts w:ascii="微软雅黑" w:hAnsi="微软雅黑" w:cs="微软雅黑" w:eastAsia="微软雅黑" w:hint="eastAsia"/>
          <w:b w:val="1"/>
        </w:rPr>
        <w:t xml:space="preserve">银响力项目</w:t>
      </w:r>
      <w:r>
        <w:rPr>
          <w:sz w:val="18"/>
          <w:rFonts w:ascii="微软雅黑" w:hAnsi="微软雅黑" w:cs="微软雅黑" w:eastAsia="微软雅黑" w:hint="eastAsia"/>
          <w:b w:val="0"/>
        </w:rPr>
        <w:t xml:space="preserve">是银泰百货面向现在和未来，定向招募和孵化在门店营运沉淀的潜力同学。项目配备了定向的培养机制，给愿意专注前线营运工作的同学提供无限的舞台，助你成为区域营运专业人才或门店中高层管理者。</w:t>
      </w:r>
    </w:p>
    <w:p>
      <w:pPr>
        <w:ind w:firstLine="360" w:firstLineChars="200"/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银泰百货2027年秋招职位</w:t>
      </w:r>
      <w:r>
        <w:rPr>
          <w:sz w:val="18"/>
          <w:rFonts w:ascii="微软雅黑" w:hAnsi="微软雅黑" w:cs="微软雅黑" w:eastAsia="微软雅黑" w:hint="eastAsia"/>
          <w:b w:val="0"/>
        </w:rPr>
        <w:t xml:space="preserve">覆盖全国重点省市，遍布全国，杭州、西安、合肥、宁波等多座城市。</w:t>
      </w:r>
      <w:r>
        <w:rPr>
          <w:sz w:val="18"/>
          <w:rFonts w:ascii="微软雅黑" w:hAnsi="微软雅黑" w:cs="微软雅黑" w:eastAsia="微软雅黑" w:hint="default"/>
        </w:rPr>
        <w:t xml:space="preserve">27届</w:t>
      </w:r>
      <w:r>
        <w:rPr>
          <w:sz w:val="18"/>
          <w:rFonts w:ascii="微软雅黑" w:hAnsi="微软雅黑" w:cs="微软雅黑" w:eastAsia="微软雅黑" w:hint="default"/>
          <w:b w:val="0"/>
        </w:rPr>
        <w:t xml:space="preserve">秋招岗位包括招商营运类、市场企划类、财务管理类、产品技术类、工程物业类。</w:t>
      </w:r>
    </w:p>
    <w:p>
      <w:pPr>
        <w:rPr>
          <w:sz w:val="18"/>
          <w:rFonts w:ascii="微软雅黑" w:hAnsi="微软雅黑" w:cs="微软雅黑" w:eastAsia="微软雅黑" w:hint="eastAsia"/>
        </w:rPr>
      </w:pPr>
      <w:r/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三、【培养&amp;福利】</w:t>
      </w:r>
    </w:p>
    <w:p>
      <w:pPr/>
      <w:r>
        <w:rPr>
          <w:sz w:val="18"/>
          <w:rFonts w:ascii="微软雅黑" w:hAnsi="微软雅黑" w:cs="微软雅黑" w:eastAsia="微软雅黑" w:hint="eastAsia"/>
        </w:rPr>
        <w:t xml:space="preserve">定制化培养计划与快速成长路径</w:t>
      </w:r>
    </w:p>
    <w:p>
      <w:pPr/>
      <w:r>
        <w:rPr>
          <w:sz w:val="18"/>
          <w:rFonts w:ascii="微软雅黑" w:hAnsi="微软雅黑" w:cs="微软雅黑" w:eastAsia="微软雅黑" w:hint="eastAsia"/>
        </w:rPr>
        <w:t xml:space="preserve">具有竞争力的薪酬与长期激励</w:t>
      </w:r>
    </w:p>
    <w:p>
      <w:pPr/>
      <w:r>
        <w:rPr>
          <w:sz w:val="18"/>
          <w:rFonts w:ascii="微软雅黑" w:hAnsi="微软雅黑" w:cs="微软雅黑" w:eastAsia="微软雅黑" w:hint="eastAsia"/>
        </w:rPr>
        <w:t xml:space="preserve">专属补贴、花样假期与特色福利</w:t>
      </w:r>
    </w:p>
    <w:p>
      <w:pPr/>
      <w:r>
        <w:rPr>
          <w:sz w:val="18"/>
          <w:rFonts w:ascii="微软雅黑" w:hAnsi="微软雅黑" w:cs="微软雅黑" w:eastAsia="微软雅黑" w:hint="eastAsia"/>
        </w:rPr>
        <w:t xml:space="preserve">高管师兄带教与前中台轮岗学习机会</w:t>
      </w:r>
    </w:p>
    <w:p>
      <w:pPr>
        <w:rPr>
          <w:sz w:val="18"/>
          <w:rFonts w:ascii="微软雅黑" w:hAnsi="微软雅黑" w:cs="微软雅黑" w:eastAsia="微软雅黑" w:hint="eastAsia"/>
        </w:rPr>
      </w:pPr>
      <w:r/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四、【加入我们】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方式一：官网投递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点击跳转官网</w:t>
      </w:r>
      <w:r>
        <w:fldChar w:fldCharType="begin"/>
      </w:r>
      <w:r>
        <w:instrText>HYPERLINK "https://talent.intime.com.cn/campus"</w:instrText>
      </w:r>
      <w:r>
        <w:fldChar w:fldCharType="separate"/>
      </w:r>
      <w:r>
        <w:t xml:space="preserve">https://talent.intime.com.cn/campus</w:t>
      </w:r>
      <w:r>
        <w:fldChar w:fldCharType="end"/>
      </w:r>
      <w:r>
        <w:rPr>
          <w:sz w:val="18"/>
          <w:rFonts w:ascii="微软雅黑" w:hAnsi="微软雅黑" w:cs="微软雅黑" w:eastAsia="微软雅黑" w:hint="eastAsia"/>
        </w:rPr>
        <w:t xml:space="preserve"> ：</w:t>
      </w:r>
      <w:hyperlink r:id="rId4">
        <w:r>
          <w:rPr>
            <w:sz w:val="18"/>
            <w:rFonts w:ascii="微软雅黑" w:hAnsi="微软雅黑" w:cs="微软雅黑" w:eastAsia="微软雅黑" w:hint="eastAsia"/>
            <w:rStyle w:val="hyperlink"/>
          </w:rPr>
          <w:t xml:space="preserve">https://talent.intime.com.cn/campus</w:t>
        </w:r>
      </w:hyperlink>
      <w:r>
        <w:rPr>
          <w:sz w:val="18"/>
          <w:rFonts w:ascii="微软雅黑" w:hAnsi="微软雅黑" w:cs="微软雅黑" w:eastAsia="微软雅黑" w:hint="eastAsia"/>
        </w:rPr>
      </w:r>
    </w:p>
    <w:p>
      <w:pPr>
        <w:rPr>
          <w:sz w:val="18"/>
          <w:rFonts w:ascii="微软雅黑" w:hAnsi="微软雅黑" w:cs="微软雅黑" w:eastAsia="微软雅黑" w:hint="eastAsia"/>
        </w:rPr>
      </w:pPr>
      <w:r/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方式二：公众号投递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1、关注“银泰商业招聘”；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2、点击银泰招聘，选择校园招聘；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3、进入校招官网完成投递。</w:t>
      </w:r>
    </w:p>
    <w:p>
      <w:pPr>
        <w:rPr>
          <w:sz w:val="18"/>
          <w:rFonts w:ascii="微软雅黑" w:hAnsi="微软雅黑" w:cs="微软雅黑" w:eastAsia="微软雅黑" w:hint="eastAsia"/>
        </w:rPr>
      </w:pPr>
      <w:r/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方式三：内推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找到身边银泰百货的学长/学姐or校园大使获取内推码，完成投递。</w:t>
      </w:r>
    </w:p>
    <w:p>
      <w:pPr>
        <w:rPr>
          <w:sz w:val="18"/>
          <w:rFonts w:ascii="微软雅黑" w:hAnsi="微软雅黑" w:cs="微软雅黑" w:eastAsia="微软雅黑" w:hint="eastAsia"/>
        </w:rPr>
      </w:pPr>
      <w:r/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五、【应聘流程】</w:t>
      </w:r>
    </w:p>
    <w:p>
      <w:pPr/>
      <w:r/>
      <w:r>
        <w:drawing>
          <wp:inline distT="0" distB="0" distL="0" distR="0">
            <wp:extent cx="7124700" cy="1116379"/>
            <wp:effectExtent b="0" l="0" r="0" t="0"/>
            <wp:docPr id="1" name="线上PC端-校招流程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/>
                  </pic:blipFill>
                  <pic:spPr>
                    <a:xfrm rot="0">
                      <a:off x="0" y="0"/>
                      <a:ext cx="7124700" cy="111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</w:p>
    <w:p>
      <w:pPr>
        <w:jc w:val="center"/>
      </w:pPr>
      <w:r>
        <w:rPr>
          <w:sz w:val="18"/>
          <w:rFonts w:ascii="微软雅黑" w:hAnsi="微软雅黑" w:cs="微软雅黑" w:eastAsia="微软雅黑" w:hint="eastAsia"/>
          <w:b w:val="0"/>
        </w:rPr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网申/内推： 9月1日启动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笔试/AI面试： 9月9日开始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面试：9月14日开始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Offer发放：9月21日</w:t>
      </w:r>
      <w:r>
        <w:rPr>
          <w:sz w:val="18"/>
          <w:rFonts w:ascii="微软雅黑" w:hAnsi="微软雅黑" w:cs="微软雅黑" w:eastAsia="微软雅黑" w:hint="default"/>
        </w:rPr>
        <w:t xml:space="preserve">起</w:t>
      </w:r>
      <w:r>
        <w:rPr>
          <w:sz w:val="18"/>
          <w:rFonts w:ascii="微软雅黑" w:hAnsi="微软雅黑" w:cs="微软雅黑" w:eastAsia="微软雅黑" w:hint="eastAsia"/>
        </w:rPr>
        <w:t xml:space="preserve">陆续发放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*校招期间请注意留意短信与邮件，不错过面试。</w:t>
      </w:r>
    </w:p>
    <w:p>
      <w:pPr>
        <w:rPr>
          <w:sz w:val="18"/>
          <w:rFonts w:ascii="微软雅黑" w:hAnsi="微软雅黑" w:cs="微软雅黑" w:eastAsia="微软雅黑" w:hint="eastAsia"/>
        </w:rPr>
      </w:pPr>
      <w:r/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六、【校招职位解析】</w:t>
      </w:r>
    </w:p>
    <w:tbl>
      <w:tblPr>
        <w:tblStyle w:val="TableGrid"/>
        <w:tblW w:w="0" w:type="auto"/>
      </w:tblPr>
      <w:tblGrid>
        <w:gridCol w:w="1335"/>
        <w:gridCol w:w="1935"/>
        <w:gridCol w:w="11640"/>
        <w:gridCol w:w="2220"/>
      </w:tblGrid>
      <w:tr>
        <w:trPr>
          <w:trHeight w:val="520"/>
        </w:trPr>
        <w:tc>
          <w:tcPr>
            <w:tcW w:w="1335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  <w:b w:val="1"/>
              </w:rPr>
              <w:t xml:space="preserve">职位类别</w:t>
            </w:r>
          </w:p>
        </w:tc>
        <w:tc>
          <w:tcPr>
            <w:tcW w:w="1935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  <w:b w:val="1"/>
              </w:rPr>
              <w:t xml:space="preserve">职位名称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  <w:b w:val="1"/>
              </w:rPr>
              <w:t xml:space="preserve">职位解析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  <w:b w:val="1"/>
              </w:rPr>
              <w:t xml:space="preserve">工作城市</w:t>
            </w:r>
          </w:p>
        </w:tc>
      </w:tr>
      <w:tr>
        <w:trPr>
          <w:trHeight w:val="580"/>
        </w:trPr>
        <w:tc>
          <w:tcPr>
            <w:tcW w:w="1335" w:type="dxa"/>
            <w:vMerge w:val="restart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业务类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业务-门店营运方向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落实销售规划推进品牌运营，完成经营指标，负责商场品牌日常管理、业绩分析帮扶、活动洽谈及租金装修管控，联动多部门推进业务落地，开展市场调研输出经营参考，可参与市场推广、品牌招商经营、全域营销方向轮岗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杭州、西安、合肥、宁波、温州等城市</w:t>
            </w:r>
          </w:p>
        </w:tc>
      </w:tr>
      <w:tr>
        <w:trPr>
          <w:trHeight w:val="540"/>
        </w:trPr>
        <w:tc>
          <w:tcPr>
            <w:vMerge w:val="continue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</w:rPr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业务-市场企划方向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统筹集团及多商场企划方案与活动全流程管理，负责新媒体媒介策略、内容及舆情管控，开展全渠道会员精细化运营，支持多业务方向轮岗。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</w:t>
            </w:r>
          </w:p>
        </w:tc>
      </w:tr>
      <w:tr>
        <w:trPr>
          <w:trHeight w:val="540"/>
        </w:trPr>
        <w:tc>
          <w:tcPr>
            <w:vMerge w:val="continue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</w:rPr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业务-品牌经营方向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围绕商场业绩提升，开展商品与补货管理、现场及品牌调改落地、营销资源对接、行业竞品调研、销售团队督导管理，可参与门店营运、市场推广、全域营销方向轮岗。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</w:t>
            </w:r>
          </w:p>
        </w:tc>
      </w:tr>
      <w:tr>
        <w:trPr>
          <w:trHeight w:val="600"/>
        </w:trPr>
        <w:tc>
          <w:tcPr>
            <w:vMerge w:val="continue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</w:rPr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业务-喵街运营方向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负责喵街 APP 营销活动策划落地、商品数字化与品牌运营，协同产研推进新零售产品及 AI 场景探索，搭建数据监控体系，通过数据分析复盘迭代运营策略。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</w:t>
            </w:r>
          </w:p>
        </w:tc>
      </w:tr>
      <w:tr>
        <w:trPr>
          <w:trHeight w:val="640"/>
        </w:trPr>
        <w:tc>
          <w:tcPr>
            <w:tcW w:w="13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技术类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AI系统工程师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参与零售场景下视觉 AI、AI Agent 等 AI 系统设计开发，运用各类 AI 编程工具实践人机协同开发，负责数据、模型服务、云边设备相关系统建设保障稳定性，结合零售业务全链路以技术驱动项目落地，并跟进前沿 AI 技术沉淀可复用能力。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</w:t>
            </w:r>
          </w:p>
        </w:tc>
      </w:tr>
      <w:tr>
        <w:trPr>
          <w:trHeight w:val="540"/>
        </w:trPr>
        <w:tc>
          <w:tcPr>
            <w:tcW w:w="1335" w:type="dxa"/>
            <w:vMerge w:val="restart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财务类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综合财务管培生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主要负责根据集团战略拟定跟踪年度预算、输出专项分析，为业务提供决策支持及财务支持。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</w:t>
            </w:r>
          </w:p>
        </w:tc>
      </w:tr>
      <w:tr>
        <w:trPr>
          <w:trHeight w:val="540"/>
        </w:trPr>
        <w:tc>
          <w:tcPr>
            <w:vMerge w:val="continue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</w:rPr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智能账务管培生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主要负责处理日常财务核算数据、供应商往来对账结算、识别和把控各项业务交易风险。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杭州、西安</w:t>
            </w:r>
          </w:p>
        </w:tc>
      </w:tr>
      <w:tr>
        <w:trPr>
          <w:trHeight w:val="580"/>
        </w:trPr>
        <w:tc>
          <w:tcPr>
            <w:vMerge w:val="continue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</w:rPr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市场采购管培生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主要负责承接集团及门店项目的采购需求、跟进采购全流程，包括采购策略、采购寻源、供应商管理、成本管理、数据整理及分析、管理流程和合规性。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</w:t>
            </w:r>
          </w:p>
        </w:tc>
      </w:tr>
      <w:tr>
        <w:trPr>
          <w:trHeight w:val="580"/>
        </w:trPr>
        <w:tc>
          <w:tcPr>
            <w:tcW w:w="13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工程物业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工程设计管培生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主要负责项目装饰全周期设计管理工作，负责项目装饰方案的设计、深化及落地等工作。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北京</w:t>
            </w:r>
          </w:p>
        </w:tc>
      </w:tr>
      <w:tr>
        <w:trPr>
          <w:trHeight w:val="620"/>
        </w:trPr>
        <w:tc>
          <w:tcPr>
            <w:tcW w:w="13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投资拓展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拓展管培生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完整参与投资拓展全周期，对接政府、房企、国央企等外部主体，锻炼商务谈判、市场分析、政企对接及跨部门协同能力，建立商业投拓核心业务认知与行业视野。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北京</w:t>
            </w:r>
          </w:p>
        </w:tc>
      </w:tr>
      <w:tr>
        <w:trPr>
          <w:trHeight w:val="660"/>
        </w:trPr>
        <w:tc>
          <w:tcPr>
            <w:tcW w:w="13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设计类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AI创意设计管培生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参与各类设计项目及公司设计体系建设，独立完成设计全流程，负责设计品质管控与交付质量优化，运用 AIGC 工具参与搭建 AI 设计体系实现团队提效，协同项目交付排期，随能力成长承接小型项目并逐步承担设计管理相关工作。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</w:t>
            </w:r>
          </w:p>
        </w:tc>
      </w:tr>
      <w:tr>
        <w:trPr>
          <w:trHeight w:val="580"/>
        </w:trPr>
        <w:tc>
          <w:tcPr>
            <w:tcW w:w="13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运营类</w:t>
            </w:r>
          </w:p>
        </w:tc>
        <w:tc>
          <w:tcPr>
            <w:tcW w:w="1935" w:type="dxa"/>
            <w:vAlign w:val="center"/>
          </w:tcPr>
          <w:p>
            <w:pPr>
              <w:jc w:val="center"/>
            </w:pPr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服务运营管培生</w:t>
            </w:r>
          </w:p>
        </w:tc>
        <w:tc>
          <w:tcPr>
            <w:tcW w:w="1164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立足银泰顾客视角挖掘服务体验优化点，分析服务数据、联动各部门落地改善策略，搭建并推进服务运营体系，实现客户体验与满意度提升。</w:t>
            </w:r>
          </w:p>
        </w:tc>
        <w:tc>
          <w:tcPr>
            <w:tcW w:w="2220" w:type="dxa"/>
          </w:tcPr>
          <w:p>
            <w:pPr/>
            <w:r>
              <w:rPr>
                <w:sz w:val="18"/>
                <w:rFonts w:ascii="微软雅黑" w:hAnsi="微软雅黑" w:cs="微软雅黑" w:eastAsia="微软雅黑" w:hint="eastAsia"/>
                <w:color w:val="000000"/>
              </w:rPr>
              <w:t xml:space="preserve">杭州</w:t>
            </w:r>
          </w:p>
        </w:tc>
      </w:tr>
    </w:tbl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七、【校招动态关注】</w:t>
      </w:r>
    </w:p>
    <w:p>
      <w:pPr>
        <w:rPr>
          <w:sz w:val="18"/>
          <w:rFonts w:ascii="微软雅黑" w:hAnsi="微软雅黑" w:cs="微软雅黑" w:eastAsia="微软雅黑" w:hint="eastAsia"/>
        </w:rPr>
      </w:pPr>
      <w:r/>
      <w:r>
        <w:drawing>
          <wp:inline distT="0" distB="0" distL="0" distR="0">
            <wp:extent cx="714375" cy="714375"/>
            <wp:effectExtent b="0" l="0" r="0" t="0"/>
            <wp:docPr id="2" name="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 rot="0">
                      <a:off x="0" y="0"/>
                      <a:ext cx="714375" cy="714375"/>
                    </a:xfrm>
                    <a:prstGeom prst="rect">
                      <a:avLst/>
                    </a:prstGeom>
                    <a:ln w="2381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rFonts w:ascii="微软雅黑" w:hAnsi="微软雅黑" w:cs="微软雅黑" w:eastAsia="微软雅黑" w:hint="eastAsia"/>
        </w:rPr>
        <w:t xml:space="preserve">                   </w:t>
      </w:r>
    </w:p>
    <w:p>
      <w:pPr>
        <w:rPr>
          <w:sz w:val="18"/>
          <w:rFonts w:ascii="微软雅黑" w:hAnsi="微软雅黑" w:cs="微软雅黑" w:eastAsia="微软雅黑" w:hint="eastAsia"/>
        </w:rPr>
      </w:pPr>
      <w:r>
        <w:rPr>
          <w:sz w:val="18"/>
          <w:rFonts w:ascii="微软雅黑" w:hAnsi="微软雅黑" w:cs="微软雅黑" w:eastAsia="微软雅黑" w:hint="eastAsia"/>
        </w:rPr>
        <w:t xml:space="preserve">关注【银泰商业招聘】公众号</w:t>
      </w:r>
    </w:p>
    <w:sectPr>
      <w:pgSz w:w="13380" w:h="16905"/>
      <w:pgMar w:top="720" w:right="1080" w:bottom="720" w:left="1080" w:header="850.95" w:footer="991.95" w:gutter="0"/>
      <w:type w:val="nextPage"/>
    </w:sectPr>
  </w:body>
</w:document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bordersDoNotSurroundFooter/>
  <w:bordersDoNotSurroundHead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rFonts w:asciiTheme="minorHAnsi" w:hAnsiTheme="minorHAnsi" w:cstheme="minorBidi" w:eastAsiaTheme="minorEastAsia"/>
        <w:kern w:val="2"/>
      </w:rPr>
    </w:rPrDefault>
    <w:pPrDefault/>
  </w:docDefaults>
  <w:style w:type="table" w:default="0" w:styleId="TableGrid">
    <w:name w:val="Table Grid"/>
    <w:basedOn w:val="Normal Table"/>
    <w:tblPr>
      <w:tblBorders>
        <w:left w:val="single" w:sz="6" w:space="0" w:color="000000"/>
        <w:right w:val="single" w:sz="6" w:space="0" w:color="000000"/>
        <w:top w:val="single" w:sz="6" w:space="0" w:color="000000"/>
        <w:bottom w:val="single" w:sz="6" w:space="0" w:color="000000"/>
        <w:insideH w:val="single" w:sz="6" w:space="0" w:color="000000"/>
        <w:insideV w:val="single" w:sz="6" w:space="0" w:color="000000"/>
      </w:tblBorders>
      <w:tblW w:w="0" w:type="auto"/>
    </w:tblPr>
    <w:tcPr/>
  </w:style>
  <w:style w:type="paragraph" w:default="0" w:styleId="dingding-heading1">
    <w:name w:val="heading 1"/>
    <w:basedOn w:val="NormalParagraph"/>
    <w:tcPr/>
    <w:pPr>
      <w:keepLines w:val="1"/>
      <w:keepNext w:val="1"/>
      <w:spacing w:before="348" w:after="210" w:lineRule="auto"/>
    </w:pPr>
    <w:rPr>
      <w:sz w:val="34"/>
      <w:b w:val="1"/>
    </w:rPr>
  </w:style>
  <w:style w:type="paragraph" w:default="1" w:styleId="docDefaults">
    <w:name w:val="dingdocnormal"/>
    <w:tcPr/>
    <w:pPr>
      <w:spacing/>
    </w:pPr>
    <w:rPr>
      <w:sz w:val="24"/>
    </w:rPr>
  </w:style>
  <w:style w:type="character" w:default="0" w:styleId="hyperlink">
    <w:name w:val="Hyperlink"/>
    <w:basedOn w:val="NormalCharacter"/>
    <w:tcPr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
  <Relationship Id="rId4" Type="http://schemas.openxmlformats.org/officeDocument/2006/relationships/hyperlink" Target="https://talent.intime.com.cn/campus" TargetMode="External" />
  <Relationship Id="rId5" Type="http://schemas.openxmlformats.org/officeDocument/2006/relationships/image" Target="media/image1.png" />
  <Relationship Id="rId6" Type="http://schemas.openxmlformats.org/officeDocument/2006/relationships/image" Target="media/image2.jpg" />
  <Relationship Id="rId1" Type="http://schemas.openxmlformats.org/officeDocument/2006/relationships/styles" Target="styles.xml" />
  <Relationship Id="rId2" Type="http://schemas.openxmlformats.org/officeDocument/2006/relationships/settings" Target="settings.xml" />
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DingTalk</dc:creator>
  <cp:lastModifiedBy>DingTalk</cp:lastModifiedBy>
  <dcterms:modified xsi:type="dcterms:W3CDTF">1970-01-01T00:00:00Z</dcterms:modified>
  <cp:revision>1</cp:revision>
  <dc:description>DingTalk Document</dc:description>
  <dc:language>ZN_CH</dc:language>
</cp:coreProperties>
</file>