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EA35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</w:pPr>
      <w:bookmarkStart w:id="0" w:name="OLE_LINK7"/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一、公司简介</w:t>
      </w:r>
    </w:p>
    <w:p w14:paraId="5E4577FD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/>
        <w:ind w:left="0" w:right="0" w:firstLine="600" w:firstLineChars="200"/>
        <w:jc w:val="both"/>
        <w:rPr>
          <w:rFonts w:hint="default" w:ascii="仿宋_GB2312" w:eastAsia="仿宋_GB2312" w:cs="仿宋_GB2312"/>
          <w:color w:val="auto"/>
          <w:kern w:val="2"/>
          <w:sz w:val="30"/>
          <w:szCs w:val="30"/>
        </w:rPr>
      </w:pPr>
      <w:bookmarkStart w:id="1" w:name="OLE_LINK3"/>
      <w:r>
        <w:rPr>
          <w:rFonts w:hint="default" w:ascii="仿宋_GB2312" w:hAnsi="Calibri" w:eastAsia="仿宋_GB2312" w:cs="仿宋_GB2312"/>
          <w:color w:val="auto"/>
          <w:kern w:val="2"/>
          <w:sz w:val="30"/>
          <w:szCs w:val="30"/>
          <w:lang w:val="en-US" w:eastAsia="zh-CN" w:bidi="ar"/>
        </w:rPr>
        <w:t>中讯邮电咨询设计院有限公司是</w:t>
      </w:r>
      <w:r>
        <w:rPr>
          <w:rFonts w:hint="default" w:ascii="仿宋_GB2312" w:hAnsi="Calibri" w:eastAsia="仿宋_GB2312" w:cs="仿宋_GB2312"/>
          <w:color w:val="auto"/>
          <w:kern w:val="2"/>
          <w:sz w:val="30"/>
          <w:szCs w:val="30"/>
          <w:lang w:eastAsia="zh-CN" w:bidi="ar"/>
        </w:rPr>
        <w:t>中国联通的专业子公司，</w:t>
      </w:r>
      <w:r>
        <w:rPr>
          <w:rFonts w:hint="eastAsia" w:ascii="仿宋_GB2312" w:hAnsi="Calibri" w:eastAsia="仿宋_GB2312" w:cs="仿宋_GB2312"/>
          <w:color w:val="auto"/>
          <w:kern w:val="2"/>
          <w:sz w:val="30"/>
          <w:szCs w:val="30"/>
          <w:lang w:val="en-US" w:eastAsia="zh-CN" w:bidi="ar"/>
        </w:rPr>
        <w:t>是中国联通算网数智化咨询规划设计和建设运营支撑的主体单位，提供算网升级演进和融合发展产品及解决方案，提供基于网络能力的数智化产品和技术服务</w:t>
      </w:r>
      <w:r>
        <w:rPr>
          <w:rFonts w:hint="default" w:ascii="仿宋_GB2312" w:hAnsi="Calibri" w:eastAsia="仿宋_GB2312" w:cs="仿宋_GB2312"/>
          <w:color w:val="auto"/>
          <w:kern w:val="2"/>
          <w:sz w:val="30"/>
          <w:szCs w:val="30"/>
          <w:lang w:val="en-US" w:eastAsia="zh-CN" w:bidi="ar"/>
        </w:rPr>
        <w:t>。</w:t>
      </w:r>
      <w:r>
        <w:rPr>
          <w:rFonts w:hint="default" w:ascii="仿宋_GB2312" w:hAnsi="Calibri" w:eastAsia="仿宋_GB2312" w:cs="仿宋_GB2312"/>
          <w:color w:val="auto"/>
          <w:kern w:val="2"/>
          <w:sz w:val="30"/>
          <w:szCs w:val="30"/>
          <w:lang w:val="en-US" w:eastAsia="zh-CN" w:bidi="ar"/>
        </w:rPr>
        <w:t>1952年创建于北京，是原邮电部组建最早、规模最大的综合性甲级咨询勘察设计单位，是国家</w:t>
      </w:r>
      <w:r>
        <w:rPr>
          <w:rFonts w:hint="eastAsia" w:ascii="仿宋_GB2312" w:hAnsi="Calibri" w:eastAsia="仿宋_GB2312" w:cs="仿宋_GB2312"/>
          <w:color w:val="auto"/>
          <w:kern w:val="2"/>
          <w:sz w:val="30"/>
          <w:szCs w:val="30"/>
          <w:lang w:val="en-US" w:eastAsia="zh-CN" w:bidi="ar"/>
        </w:rPr>
        <w:t>“</w:t>
      </w:r>
      <w:r>
        <w:rPr>
          <w:rFonts w:hint="default" w:ascii="仿宋_GB2312" w:hAnsi="Calibri" w:eastAsia="仿宋_GB2312" w:cs="仿宋_GB2312"/>
          <w:color w:val="auto"/>
          <w:kern w:val="2"/>
          <w:sz w:val="30"/>
          <w:szCs w:val="30"/>
          <w:lang w:val="en-US" w:eastAsia="zh-CN" w:bidi="ar"/>
        </w:rPr>
        <w:t>高新技术企业</w:t>
      </w:r>
      <w:r>
        <w:rPr>
          <w:rFonts w:hint="eastAsia" w:ascii="仿宋_GB2312" w:hAnsi="Calibri" w:eastAsia="仿宋_GB2312" w:cs="仿宋_GB2312"/>
          <w:color w:val="auto"/>
          <w:kern w:val="2"/>
          <w:sz w:val="30"/>
          <w:szCs w:val="30"/>
          <w:lang w:val="en-US" w:eastAsia="zh-CN" w:bidi="ar"/>
        </w:rPr>
        <w:t>”</w:t>
      </w:r>
      <w:r>
        <w:rPr>
          <w:rFonts w:hint="default" w:ascii="仿宋_GB2312" w:hAnsi="Calibri" w:eastAsia="仿宋_GB2312" w:cs="仿宋_GB2312"/>
          <w:color w:val="auto"/>
          <w:kern w:val="2"/>
          <w:sz w:val="30"/>
          <w:szCs w:val="30"/>
          <w:lang w:val="en-US" w:eastAsia="zh-CN" w:bidi="ar"/>
        </w:rPr>
        <w:t>、国务院国资委</w:t>
      </w:r>
      <w:r>
        <w:rPr>
          <w:rFonts w:hint="eastAsia" w:ascii="仿宋_GB2312" w:hAnsi="Calibri" w:eastAsia="仿宋_GB2312" w:cs="仿宋_GB2312"/>
          <w:color w:val="auto"/>
          <w:kern w:val="2"/>
          <w:sz w:val="30"/>
          <w:szCs w:val="30"/>
          <w:lang w:val="en-US" w:eastAsia="zh-CN" w:bidi="ar"/>
        </w:rPr>
        <w:t>“</w:t>
      </w:r>
      <w:r>
        <w:rPr>
          <w:rFonts w:hint="default" w:ascii="仿宋_GB2312" w:hAnsi="Calibri" w:eastAsia="仿宋_GB2312" w:cs="仿宋_GB2312"/>
          <w:color w:val="auto"/>
          <w:kern w:val="2"/>
          <w:sz w:val="30"/>
          <w:szCs w:val="30"/>
          <w:lang w:val="en-US" w:eastAsia="zh-CN" w:bidi="ar"/>
        </w:rPr>
        <w:t>科改企业</w:t>
      </w:r>
      <w:r>
        <w:rPr>
          <w:rFonts w:hint="eastAsia" w:ascii="仿宋_GB2312" w:hAnsi="Calibri" w:eastAsia="仿宋_GB2312" w:cs="仿宋_GB2312"/>
          <w:color w:val="auto"/>
          <w:kern w:val="2"/>
          <w:sz w:val="30"/>
          <w:szCs w:val="30"/>
          <w:lang w:val="en-US" w:eastAsia="zh-CN" w:bidi="ar"/>
        </w:rPr>
        <w:t>”</w:t>
      </w:r>
      <w:r>
        <w:rPr>
          <w:rFonts w:hint="default" w:ascii="仿宋_GB2312" w:hAnsi="Calibri" w:eastAsia="仿宋_GB2312" w:cs="仿宋_GB2312"/>
          <w:color w:val="auto"/>
          <w:kern w:val="2"/>
          <w:sz w:val="30"/>
          <w:szCs w:val="30"/>
          <w:lang w:val="en-US" w:eastAsia="zh-CN" w:bidi="ar"/>
        </w:rPr>
        <w:t>、</w:t>
      </w:r>
      <w:r>
        <w:rPr>
          <w:rFonts w:hint="eastAsia" w:ascii="仿宋_GB2312" w:hAnsi="Calibri" w:eastAsia="仿宋_GB2312" w:cs="仿宋_GB2312"/>
          <w:color w:val="auto"/>
          <w:kern w:val="2"/>
          <w:sz w:val="30"/>
          <w:szCs w:val="30"/>
          <w:lang w:val="en-US" w:eastAsia="zh-CN" w:bidi="ar"/>
        </w:rPr>
        <w:t>“</w:t>
      </w:r>
      <w:r>
        <w:rPr>
          <w:rFonts w:hint="default" w:ascii="仿宋_GB2312" w:hAnsi="Calibri" w:eastAsia="仿宋_GB2312" w:cs="仿宋_GB2312"/>
          <w:color w:val="auto"/>
          <w:kern w:val="2"/>
          <w:sz w:val="30"/>
          <w:szCs w:val="30"/>
          <w:lang w:val="en-US" w:eastAsia="zh-CN" w:bidi="ar"/>
        </w:rPr>
        <w:t>世界一流专业领军重点企业</w:t>
      </w:r>
      <w:r>
        <w:rPr>
          <w:rFonts w:hint="eastAsia" w:ascii="仿宋_GB2312" w:hAnsi="Calibri" w:eastAsia="仿宋_GB2312" w:cs="仿宋_GB2312"/>
          <w:color w:val="auto"/>
          <w:kern w:val="2"/>
          <w:sz w:val="30"/>
          <w:szCs w:val="30"/>
          <w:lang w:val="en-US" w:eastAsia="zh-CN" w:bidi="ar"/>
        </w:rPr>
        <w:t>”</w:t>
      </w:r>
      <w:r>
        <w:rPr>
          <w:rFonts w:hint="default" w:ascii="仿宋_GB2312" w:hAnsi="Calibri" w:eastAsia="仿宋_GB2312" w:cs="仿宋_GB2312"/>
          <w:color w:val="auto"/>
          <w:kern w:val="2"/>
          <w:sz w:val="30"/>
          <w:szCs w:val="30"/>
          <w:lang w:val="en-US" w:eastAsia="zh-CN" w:bidi="ar"/>
        </w:rPr>
        <w:t>。</w:t>
      </w:r>
    </w:p>
    <w:p w14:paraId="6B75F9F9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/>
        <w:ind w:left="0" w:right="0" w:firstLine="600" w:firstLineChars="200"/>
        <w:jc w:val="both"/>
        <w:rPr>
          <w:rFonts w:hint="eastAsia"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default" w:ascii="仿宋_GB2312" w:hAnsi="Calibri" w:eastAsia="仿宋_GB2312" w:cs="仿宋_GB2312"/>
          <w:color w:val="auto"/>
          <w:kern w:val="2"/>
          <w:sz w:val="30"/>
          <w:szCs w:val="30"/>
          <w:lang w:val="en-US" w:eastAsia="zh-CN" w:bidi="ar"/>
        </w:rPr>
        <w:t>在北京、上海、广州、成都、郑州、</w:t>
      </w:r>
      <w:r>
        <w:rPr>
          <w:rFonts w:hint="eastAsia" w:ascii="仿宋_GB2312" w:hAnsi="Calibri" w:eastAsia="仿宋_GB2312" w:cs="仿宋_GB2312"/>
          <w:color w:val="auto"/>
          <w:kern w:val="2"/>
          <w:sz w:val="30"/>
          <w:szCs w:val="30"/>
          <w:lang w:val="en-US" w:eastAsia="zh-CN" w:bidi="ar"/>
        </w:rPr>
        <w:t>南京</w:t>
      </w:r>
      <w:r>
        <w:rPr>
          <w:rFonts w:hint="default" w:ascii="仿宋_GB2312" w:hAnsi="Calibri" w:eastAsia="仿宋_GB2312" w:cs="仿宋_GB2312"/>
          <w:color w:val="auto"/>
          <w:kern w:val="2"/>
          <w:sz w:val="30"/>
          <w:szCs w:val="30"/>
          <w:lang w:val="en-US" w:eastAsia="zh-CN" w:bidi="ar"/>
        </w:rPr>
        <w:t>等地设置分（子）公司，机构遍布全国31个省市自治区。</w:t>
      </w:r>
      <w:r>
        <w:rPr>
          <w:rFonts w:hint="default" w:ascii="仿宋_GB2312" w:hAnsi="Calibri" w:eastAsia="仿宋_GB2312" w:cs="仿宋_GB2312"/>
          <w:color w:val="auto"/>
          <w:kern w:val="2"/>
          <w:sz w:val="30"/>
          <w:szCs w:val="30"/>
          <w:lang w:val="en-US" w:eastAsia="zh-CN" w:bidi="ar"/>
        </w:rPr>
        <w:t>先后涌现出7位国家级设计大师，</w:t>
      </w:r>
      <w:r>
        <w:rPr>
          <w:rFonts w:hint="eastAsia" w:ascii="仿宋_GB2312" w:hAnsi="Calibri" w:eastAsia="仿宋_GB2312" w:cs="仿宋_GB2312"/>
          <w:color w:val="auto"/>
          <w:kern w:val="2"/>
          <w:sz w:val="30"/>
          <w:szCs w:val="30"/>
          <w:lang w:val="en-US" w:eastAsia="zh-CN" w:bidi="ar"/>
        </w:rPr>
        <w:t>70</w:t>
      </w:r>
      <w:r>
        <w:rPr>
          <w:rFonts w:hint="default" w:ascii="仿宋_GB2312" w:hAnsi="Calibri" w:eastAsia="仿宋_GB2312" w:cs="仿宋_GB2312"/>
          <w:color w:val="auto"/>
          <w:kern w:val="2"/>
          <w:sz w:val="30"/>
          <w:szCs w:val="30"/>
          <w:lang w:val="en-US" w:eastAsia="zh-CN" w:bidi="ar"/>
        </w:rPr>
        <w:t>位国务院政府特殊津贴专家。</w:t>
      </w:r>
      <w:r>
        <w:rPr>
          <w:rFonts w:hint="eastAsia" w:ascii="仿宋_GB2312" w:hAnsi="Calibri" w:eastAsia="仿宋_GB2312" w:cs="仿宋_GB2312"/>
          <w:color w:val="auto"/>
          <w:kern w:val="2"/>
          <w:sz w:val="30"/>
          <w:szCs w:val="30"/>
          <w:lang w:val="en-US" w:eastAsia="zh-CN" w:bidi="ar"/>
        </w:rPr>
        <w:t>获得</w:t>
      </w:r>
      <w:r>
        <w:rPr>
          <w:rFonts w:hint="default" w:ascii="仿宋_GB2312" w:hAnsi="Calibri" w:eastAsia="仿宋_GB2312" w:cs="仿宋_GB2312"/>
          <w:color w:val="auto"/>
          <w:kern w:val="2"/>
          <w:sz w:val="30"/>
          <w:szCs w:val="30"/>
          <w:lang w:val="en-US" w:eastAsia="zh-CN" w:bidi="ar"/>
        </w:rPr>
        <w:t>国家科技进步奖3项，省部级科技奖364项，国家级设计咨询奖项257项，省部级设计咨询奖项1224项；获得专利授权763项，软件著作权612项，内容涵盖通信工程各个专业，同行业中名列前茅。2009年以来，发布国家标准55项，其中主编14项，参编41项，发布行业标准376项，其中主编111项。</w:t>
      </w:r>
    </w:p>
    <w:bookmarkEnd w:id="1"/>
    <w:p w14:paraId="62A5A53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 w:ascii="仿宋_GB2312" w:eastAsia="仿宋_GB2312" w:cs="仿宋_GB2312"/>
          <w:color w:val="auto"/>
          <w:kern w:val="2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公司业务介绍</w:t>
      </w:r>
    </w:p>
    <w:p w14:paraId="050E1170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/>
        <w:ind w:left="0" w:right="0" w:firstLine="600" w:firstLineChars="200"/>
        <w:jc w:val="both"/>
        <w:rPr>
          <w:rFonts w:hint="default" w:ascii="仿宋_GB2312" w:hAnsi="Calibri" w:eastAsia="仿宋_GB2312" w:cs="仿宋_GB2312"/>
          <w:color w:val="auto"/>
          <w:kern w:val="2"/>
          <w:sz w:val="30"/>
          <w:szCs w:val="30"/>
          <w:lang w:val="en-US" w:eastAsia="zh-CN" w:bidi="ar"/>
        </w:rPr>
      </w:pPr>
      <w:r>
        <w:rPr>
          <w:rFonts w:hint="eastAsia" w:ascii="仿宋_GB2312" w:hAnsi="Calibri" w:eastAsia="仿宋_GB2312" w:cs="仿宋_GB2312"/>
          <w:color w:val="auto"/>
          <w:kern w:val="2"/>
          <w:sz w:val="30"/>
          <w:szCs w:val="30"/>
          <w:lang w:val="en-US" w:eastAsia="zh-CN" w:bidi="ar"/>
        </w:rPr>
        <w:t>咨询规划设计及总包：聚焦“连接、算力、服务、安全”核心赛道，</w:t>
      </w:r>
      <w:r>
        <w:rPr>
          <w:rFonts w:hint="default" w:ascii="仿宋_GB2312" w:hAnsi="Calibri" w:eastAsia="仿宋_GB2312" w:cs="仿宋_GB2312"/>
          <w:color w:val="auto"/>
          <w:kern w:val="2"/>
          <w:sz w:val="30"/>
          <w:szCs w:val="30"/>
          <w:lang w:val="en-US" w:eastAsia="zh-CN" w:bidi="ar"/>
        </w:rPr>
        <w:t>提供连接和算力</w:t>
      </w:r>
      <w:r>
        <w:rPr>
          <w:rFonts w:hint="eastAsia" w:ascii="仿宋_GB2312" w:hAnsi="Calibri" w:eastAsia="仿宋_GB2312" w:cs="仿宋_GB2312"/>
          <w:color w:val="auto"/>
          <w:kern w:val="2"/>
          <w:sz w:val="30"/>
          <w:szCs w:val="30"/>
          <w:lang w:val="en-US" w:eastAsia="zh-CN" w:bidi="ar"/>
        </w:rPr>
        <w:t>、</w:t>
      </w:r>
      <w:r>
        <w:rPr>
          <w:rFonts w:hint="default" w:ascii="仿宋_GB2312" w:hAnsi="Calibri" w:eastAsia="仿宋_GB2312" w:cs="仿宋_GB2312"/>
          <w:color w:val="auto"/>
          <w:kern w:val="2"/>
          <w:sz w:val="30"/>
          <w:szCs w:val="30"/>
          <w:lang w:val="en-US" w:eastAsia="zh-CN" w:bidi="ar"/>
        </w:rPr>
        <w:t>网络安全及行业数字化咨询设计及总包服务。</w:t>
      </w:r>
    </w:p>
    <w:p w14:paraId="01F6664F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/>
        <w:ind w:left="0" w:right="0" w:firstLine="600" w:firstLineChars="200"/>
        <w:jc w:val="both"/>
        <w:rPr>
          <w:rFonts w:hint="default" w:ascii="仿宋_GB2312" w:hAnsi="Calibri" w:eastAsia="仿宋_GB2312" w:cs="仿宋_GB2312"/>
          <w:color w:val="auto"/>
          <w:kern w:val="2"/>
          <w:sz w:val="30"/>
          <w:szCs w:val="30"/>
          <w:lang w:val="en-US" w:eastAsia="zh-CN" w:bidi="ar"/>
        </w:rPr>
      </w:pPr>
      <w:r>
        <w:rPr>
          <w:rFonts w:hint="default" w:ascii="仿宋_GB2312" w:hAnsi="Calibri" w:eastAsia="仿宋_GB2312" w:cs="仿宋_GB2312"/>
          <w:color w:val="auto"/>
          <w:kern w:val="2"/>
          <w:sz w:val="30"/>
          <w:szCs w:val="30"/>
          <w:lang w:val="en-US" w:eastAsia="zh-CN" w:bidi="ar"/>
        </w:rPr>
        <w:t>基于网络能力</w:t>
      </w:r>
      <w:r>
        <w:rPr>
          <w:rFonts w:hint="eastAsia" w:ascii="仿宋_GB2312" w:hAnsi="Calibri" w:eastAsia="仿宋_GB2312" w:cs="仿宋_GB2312"/>
          <w:color w:val="auto"/>
          <w:kern w:val="2"/>
          <w:sz w:val="30"/>
          <w:szCs w:val="30"/>
          <w:lang w:val="en-US" w:eastAsia="zh-CN" w:bidi="ar"/>
        </w:rPr>
        <w:t>的</w:t>
      </w:r>
      <w:r>
        <w:rPr>
          <w:rFonts w:hint="default" w:ascii="仿宋_GB2312" w:hAnsi="Calibri" w:eastAsia="仿宋_GB2312" w:cs="仿宋_GB2312"/>
          <w:color w:val="auto"/>
          <w:kern w:val="2"/>
          <w:sz w:val="30"/>
          <w:szCs w:val="30"/>
          <w:lang w:val="en-US" w:eastAsia="zh-CN" w:bidi="ar"/>
        </w:rPr>
        <w:t>产品</w:t>
      </w:r>
      <w:r>
        <w:rPr>
          <w:rFonts w:hint="eastAsia" w:ascii="仿宋_GB2312" w:hAnsi="Calibri" w:eastAsia="仿宋_GB2312" w:cs="仿宋_GB2312"/>
          <w:color w:val="auto"/>
          <w:kern w:val="2"/>
          <w:sz w:val="30"/>
          <w:szCs w:val="30"/>
          <w:lang w:val="en-US" w:eastAsia="zh-CN" w:bidi="ar"/>
        </w:rPr>
        <w:t>和</w:t>
      </w:r>
      <w:r>
        <w:rPr>
          <w:rFonts w:hint="default" w:ascii="仿宋_GB2312" w:hAnsi="Calibri" w:eastAsia="仿宋_GB2312" w:cs="仿宋_GB2312"/>
          <w:color w:val="auto"/>
          <w:kern w:val="2"/>
          <w:sz w:val="30"/>
          <w:szCs w:val="30"/>
          <w:lang w:val="en-US" w:eastAsia="zh-CN" w:bidi="ar"/>
        </w:rPr>
        <w:t>平台</w:t>
      </w:r>
      <w:r>
        <w:rPr>
          <w:rFonts w:hint="eastAsia" w:ascii="仿宋_GB2312" w:hAnsi="Calibri" w:eastAsia="仿宋_GB2312" w:cs="仿宋_GB2312"/>
          <w:color w:val="auto"/>
          <w:kern w:val="2"/>
          <w:sz w:val="30"/>
          <w:szCs w:val="30"/>
          <w:lang w:val="en-US" w:eastAsia="zh-CN" w:bidi="ar"/>
        </w:rPr>
        <w:t>：</w:t>
      </w:r>
      <w:r>
        <w:rPr>
          <w:rFonts w:hint="eastAsia" w:ascii="仿宋_GB2312" w:hAnsi="Calibri" w:eastAsia="仿宋_GB2312" w:cs="仿宋_GB2312"/>
          <w:strike w:val="0"/>
          <w:dstrike w:val="0"/>
          <w:color w:val="auto"/>
          <w:kern w:val="2"/>
          <w:sz w:val="30"/>
          <w:szCs w:val="30"/>
          <w:lang w:val="en-US" w:eastAsia="zh-CN" w:bidi="ar"/>
        </w:rPr>
        <w:t>一是连接赛道</w:t>
      </w:r>
      <w:r>
        <w:rPr>
          <w:rFonts w:hint="default" w:ascii="仿宋_GB2312" w:hAnsi="Calibri" w:eastAsia="仿宋_GB2312" w:cs="仿宋_GB2312"/>
          <w:color w:val="auto"/>
          <w:kern w:val="2"/>
          <w:sz w:val="30"/>
          <w:szCs w:val="30"/>
          <w:lang w:val="en-US" w:eastAsia="zh-CN" w:bidi="ar"/>
        </w:rPr>
        <w:t>聚焦</w:t>
      </w:r>
      <w:r>
        <w:rPr>
          <w:rFonts w:hint="eastAsia" w:ascii="仿宋_GB2312" w:hAnsi="Calibri" w:eastAsia="仿宋_GB2312" w:cs="仿宋_GB2312"/>
          <w:color w:val="auto"/>
          <w:kern w:val="2"/>
          <w:sz w:val="30"/>
          <w:szCs w:val="30"/>
          <w:lang w:val="en-US" w:eastAsia="zh-CN" w:bidi="ar"/>
        </w:rPr>
        <w:t>新一代通信网发展演进，提供空天地一体化网络基础设施产品</w:t>
      </w:r>
      <w:r>
        <w:rPr>
          <w:rFonts w:hint="default" w:ascii="仿宋_GB2312" w:hAnsi="Calibri" w:eastAsia="仿宋_GB2312" w:cs="仿宋_GB2312"/>
          <w:color w:val="auto"/>
          <w:kern w:val="2"/>
          <w:sz w:val="30"/>
          <w:szCs w:val="30"/>
          <w:lang w:val="en-US" w:eastAsia="zh-CN" w:bidi="ar"/>
        </w:rPr>
        <w:t>及解决方案、</w:t>
      </w:r>
      <w:r>
        <w:rPr>
          <w:rFonts w:hint="eastAsia" w:ascii="仿宋_GB2312" w:hAnsi="Calibri" w:eastAsia="仿宋_GB2312" w:cs="仿宋_GB2312"/>
          <w:color w:val="auto"/>
          <w:kern w:val="2"/>
          <w:sz w:val="30"/>
          <w:szCs w:val="30"/>
          <w:lang w:val="en-US" w:eastAsia="zh-CN" w:bidi="ar"/>
        </w:rPr>
        <w:t>工业互联网及专网组网产品。</w:t>
      </w:r>
      <w:r>
        <w:rPr>
          <w:rFonts w:hint="eastAsia" w:ascii="仿宋_GB2312" w:hAnsi="Calibri" w:eastAsia="仿宋_GB2312" w:cs="仿宋_GB2312"/>
          <w:strike w:val="0"/>
          <w:dstrike w:val="0"/>
          <w:color w:val="auto"/>
          <w:kern w:val="2"/>
          <w:sz w:val="30"/>
          <w:szCs w:val="30"/>
          <w:lang w:val="en-US" w:eastAsia="zh-CN" w:bidi="ar"/>
        </w:rPr>
        <w:t>二是算力赛道</w:t>
      </w:r>
      <w:r>
        <w:rPr>
          <w:rFonts w:hint="eastAsia" w:ascii="仿宋_GB2312" w:hAnsi="Calibri" w:eastAsia="仿宋_GB2312" w:cs="仿宋_GB2312"/>
          <w:color w:val="auto"/>
          <w:kern w:val="2"/>
          <w:sz w:val="30"/>
          <w:szCs w:val="30"/>
          <w:lang w:val="en-US" w:eastAsia="zh-CN" w:bidi="ar"/>
        </w:rPr>
        <w:t>聚焦算力网发展演进，提供算网协同、高效能源及温控、碳算电协同等产品及解决方案。三是</w:t>
      </w:r>
      <w:r>
        <w:rPr>
          <w:rFonts w:hint="default" w:ascii="仿宋_GB2312" w:hAnsi="Calibri" w:eastAsia="仿宋_GB2312" w:cs="仿宋_GB2312"/>
          <w:color w:val="auto"/>
          <w:kern w:val="2"/>
          <w:sz w:val="30"/>
          <w:szCs w:val="30"/>
          <w:lang w:val="en-US" w:eastAsia="zh-CN" w:bidi="ar"/>
        </w:rPr>
        <w:t>服务赛道聚焦呼叫中心</w:t>
      </w:r>
      <w:r>
        <w:rPr>
          <w:rFonts w:hint="eastAsia" w:ascii="仿宋_GB2312" w:hAnsi="Calibri" w:eastAsia="仿宋_GB2312" w:cs="仿宋_GB2312"/>
          <w:color w:val="auto"/>
          <w:kern w:val="2"/>
          <w:sz w:val="30"/>
          <w:szCs w:val="30"/>
          <w:lang w:val="en-US" w:eastAsia="zh-CN" w:bidi="ar"/>
        </w:rPr>
        <w:t>BPO</w:t>
      </w:r>
      <w:r>
        <w:rPr>
          <w:rFonts w:hint="default" w:ascii="仿宋_GB2312" w:hAnsi="Calibri" w:eastAsia="仿宋_GB2312" w:cs="仿宋_GB2312"/>
          <w:color w:val="auto"/>
          <w:kern w:val="2"/>
          <w:sz w:val="30"/>
          <w:szCs w:val="30"/>
          <w:lang w:val="en-US" w:eastAsia="zh-CN" w:bidi="ar"/>
        </w:rPr>
        <w:t>、联通康养</w:t>
      </w:r>
      <w:r>
        <w:rPr>
          <w:rFonts w:hint="eastAsia" w:ascii="仿宋_GB2312" w:hAnsi="Calibri" w:eastAsia="仿宋_GB2312" w:cs="仿宋_GB2312"/>
          <w:color w:val="auto"/>
          <w:kern w:val="2"/>
          <w:sz w:val="30"/>
          <w:szCs w:val="30"/>
          <w:lang w:val="en-US" w:eastAsia="zh-CN" w:bidi="ar"/>
        </w:rPr>
        <w:t>等</w:t>
      </w:r>
      <w:r>
        <w:rPr>
          <w:rFonts w:hint="default" w:ascii="仿宋_GB2312" w:hAnsi="Calibri" w:eastAsia="仿宋_GB2312" w:cs="仿宋_GB2312"/>
          <w:color w:val="auto"/>
          <w:kern w:val="2"/>
          <w:sz w:val="30"/>
          <w:szCs w:val="30"/>
          <w:lang w:val="en-US" w:eastAsia="zh-CN" w:bidi="ar"/>
        </w:rPr>
        <w:t>业务</w:t>
      </w:r>
      <w:r>
        <w:rPr>
          <w:rFonts w:hint="eastAsia" w:ascii="仿宋_GB2312" w:hAnsi="Calibri" w:eastAsia="仿宋_GB2312" w:cs="仿宋_GB2312"/>
          <w:color w:val="auto"/>
          <w:kern w:val="2"/>
          <w:sz w:val="30"/>
          <w:szCs w:val="30"/>
          <w:lang w:val="en-US" w:eastAsia="zh-CN" w:bidi="ar"/>
        </w:rPr>
        <w:t>。四是</w:t>
      </w:r>
      <w:r>
        <w:rPr>
          <w:rFonts w:hint="default" w:ascii="仿宋_GB2312" w:hAnsi="Calibri" w:eastAsia="仿宋_GB2312" w:cs="仿宋_GB2312"/>
          <w:color w:val="auto"/>
          <w:kern w:val="2"/>
          <w:sz w:val="30"/>
          <w:szCs w:val="30"/>
          <w:lang w:val="en-US" w:eastAsia="zh-CN" w:bidi="ar"/>
        </w:rPr>
        <w:t>安全赛道聚焦量子安全、安全</w:t>
      </w:r>
      <w:r>
        <w:rPr>
          <w:rFonts w:hint="eastAsia" w:ascii="仿宋_GB2312" w:hAnsi="Calibri" w:eastAsia="仿宋_GB2312" w:cs="仿宋_GB2312"/>
          <w:color w:val="auto"/>
          <w:kern w:val="2"/>
          <w:sz w:val="30"/>
          <w:szCs w:val="30"/>
          <w:lang w:val="en-US" w:eastAsia="zh-CN" w:bidi="ar"/>
        </w:rPr>
        <w:t>终端</w:t>
      </w:r>
      <w:r>
        <w:rPr>
          <w:rFonts w:hint="default" w:ascii="仿宋_GB2312" w:hAnsi="Calibri" w:eastAsia="仿宋_GB2312" w:cs="仿宋_GB2312"/>
          <w:color w:val="auto"/>
          <w:kern w:val="2"/>
          <w:sz w:val="30"/>
          <w:szCs w:val="30"/>
          <w:lang w:val="en-US" w:eastAsia="zh-CN" w:bidi="ar"/>
        </w:rPr>
        <w:t>、数字信任及反诈治理业务。</w:t>
      </w:r>
    </w:p>
    <w:p w14:paraId="5870A0B3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/>
        <w:ind w:left="0" w:right="0" w:firstLine="600" w:firstLineChars="200"/>
        <w:jc w:val="both"/>
        <w:rPr>
          <w:rFonts w:hint="eastAsia" w:ascii="仿宋_GB2312" w:hAnsi="Calibri" w:eastAsia="仿宋_GB2312" w:cs="仿宋_GB2312"/>
          <w:color w:val="auto"/>
          <w:kern w:val="2"/>
          <w:sz w:val="30"/>
          <w:szCs w:val="30"/>
          <w:lang w:val="en-US" w:eastAsia="zh-CN" w:bidi="ar"/>
        </w:rPr>
      </w:pPr>
      <w:r>
        <w:rPr>
          <w:rFonts w:hint="eastAsia" w:ascii="仿宋_GB2312" w:hAnsi="Calibri" w:eastAsia="仿宋_GB2312" w:cs="仿宋_GB2312"/>
          <w:color w:val="auto"/>
          <w:kern w:val="2"/>
          <w:sz w:val="30"/>
          <w:szCs w:val="30"/>
          <w:lang w:val="en-US" w:eastAsia="zh-CN" w:bidi="ar"/>
        </w:rPr>
        <w:t>三、</w:t>
      </w:r>
      <w:bookmarkStart w:id="4" w:name="_GoBack"/>
      <w:r>
        <w:rPr>
          <w:rFonts w:hint="eastAsia" w:ascii="仿宋_GB2312" w:hAnsi="Calibri" w:eastAsia="仿宋_GB2312" w:cs="仿宋_GB2312"/>
          <w:color w:val="auto"/>
          <w:kern w:val="2"/>
          <w:sz w:val="30"/>
          <w:szCs w:val="30"/>
          <w:lang w:val="en-US" w:eastAsia="zh-CN" w:bidi="ar"/>
        </w:rPr>
        <w:t>“闪耀新苗”</w:t>
      </w:r>
    </w:p>
    <w:p w14:paraId="1D99FB25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/>
        <w:ind w:left="0" w:right="0" w:firstLine="600" w:firstLineChars="200"/>
        <w:jc w:val="both"/>
        <w:rPr>
          <w:rFonts w:hint="default" w:ascii="仿宋_GB2312" w:hAnsi="Calibri" w:eastAsia="仿宋_GB2312" w:cs="仿宋_GB2312"/>
          <w:color w:val="auto"/>
          <w:kern w:val="2"/>
          <w:sz w:val="30"/>
          <w:szCs w:val="30"/>
          <w:lang w:val="en-US" w:eastAsia="zh-CN" w:bidi="ar"/>
        </w:rPr>
      </w:pPr>
      <w:r>
        <w:rPr>
          <w:rFonts w:hint="eastAsia" w:ascii="仿宋_GB2312" w:hAnsi="Calibri" w:eastAsia="仿宋_GB2312" w:cs="仿宋_GB2312"/>
          <w:color w:val="auto"/>
          <w:kern w:val="2"/>
          <w:sz w:val="30"/>
          <w:szCs w:val="30"/>
          <w:lang w:val="en-US" w:eastAsia="zh-CN" w:bidi="ar"/>
        </w:rPr>
        <w:t>新苗计划中设置闪耀新苗专项计划，面向海内外重点高校，聚焦人工智能、云计算、大数据、网信安全、数智应用、前沿新兴技术等领域，引进优秀高潜毕业生，制定专属培养、激励政策，打造青年科技人才生力军！</w:t>
      </w:r>
    </w:p>
    <w:p w14:paraId="1695519A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/>
        <w:ind w:left="0" w:right="0" w:firstLine="602" w:firstLineChars="200"/>
        <w:jc w:val="both"/>
        <w:rPr>
          <w:rFonts w:hint="eastAsia" w:ascii="仿宋_GB2312" w:hAnsi="Calibri" w:eastAsia="仿宋_GB2312" w:cs="仿宋_GB2312"/>
          <w:b/>
          <w:bCs/>
          <w:color w:val="auto"/>
          <w:kern w:val="2"/>
          <w:sz w:val="30"/>
          <w:szCs w:val="30"/>
          <w:lang w:val="en-US" w:eastAsia="zh-CN" w:bidi="ar"/>
        </w:rPr>
      </w:pPr>
      <w:r>
        <w:rPr>
          <w:rFonts w:hint="eastAsia" w:ascii="仿宋_GB2312" w:hAnsi="Calibri" w:eastAsia="仿宋_GB2312" w:cs="仿宋_GB2312"/>
          <w:b/>
          <w:bCs/>
          <w:color w:val="auto"/>
          <w:kern w:val="2"/>
          <w:sz w:val="30"/>
          <w:szCs w:val="30"/>
          <w:lang w:val="en-US" w:eastAsia="zh-CN" w:bidi="ar"/>
        </w:rPr>
        <w:t>专属待遇</w:t>
      </w:r>
    </w:p>
    <w:p w14:paraId="40571882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/>
        <w:ind w:left="0" w:right="0" w:firstLine="600" w:firstLineChars="200"/>
        <w:jc w:val="both"/>
        <w:rPr>
          <w:rFonts w:hint="eastAsia" w:ascii="仿宋_GB2312" w:hAnsi="Calibri" w:eastAsia="仿宋_GB2312" w:cs="仿宋_GB2312"/>
          <w:b w:val="0"/>
          <w:bCs w:val="0"/>
          <w:color w:val="auto"/>
          <w:kern w:val="2"/>
          <w:sz w:val="30"/>
          <w:szCs w:val="30"/>
          <w:lang w:val="en-US" w:eastAsia="zh-CN" w:bidi="ar"/>
        </w:rPr>
      </w:pPr>
      <w:r>
        <w:rPr>
          <w:rFonts w:hint="eastAsia" w:ascii="仿宋_GB2312" w:hAnsi="Calibri" w:eastAsia="仿宋_GB2312" w:cs="仿宋_GB2312"/>
          <w:b w:val="0"/>
          <w:bCs w:val="0"/>
          <w:color w:val="auto"/>
          <w:kern w:val="2"/>
          <w:sz w:val="30"/>
          <w:szCs w:val="30"/>
          <w:lang w:val="en-US" w:eastAsia="zh-CN" w:bidi="ar"/>
        </w:rPr>
        <w:t>优先录用绿色通道</w:t>
      </w:r>
    </w:p>
    <w:p w14:paraId="5D0338B1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/>
        <w:ind w:left="0" w:right="0" w:firstLine="600" w:firstLineChars="200"/>
        <w:jc w:val="both"/>
        <w:rPr>
          <w:rFonts w:hint="eastAsia" w:ascii="仿宋_GB2312" w:hAnsi="Calibri" w:eastAsia="仿宋_GB2312" w:cs="仿宋_GB2312"/>
          <w:b w:val="0"/>
          <w:bCs w:val="0"/>
          <w:color w:val="auto"/>
          <w:kern w:val="2"/>
          <w:sz w:val="30"/>
          <w:szCs w:val="30"/>
          <w:lang w:val="en-US" w:eastAsia="zh-CN" w:bidi="ar"/>
        </w:rPr>
      </w:pPr>
      <w:r>
        <w:rPr>
          <w:rFonts w:hint="eastAsia" w:ascii="仿宋_GB2312" w:hAnsi="Calibri" w:eastAsia="仿宋_GB2312" w:cs="仿宋_GB2312"/>
          <w:b w:val="0"/>
          <w:bCs w:val="0"/>
          <w:color w:val="auto"/>
          <w:kern w:val="2"/>
          <w:sz w:val="30"/>
          <w:szCs w:val="30"/>
          <w:lang w:val="en-US" w:eastAsia="zh-CN" w:bidi="ar"/>
        </w:rPr>
        <w:t>市场化竞争力薪酬，多维发展通道</w:t>
      </w:r>
    </w:p>
    <w:p w14:paraId="6DD5C14C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/>
        <w:ind w:left="0" w:right="0" w:firstLine="600" w:firstLineChars="200"/>
        <w:jc w:val="both"/>
        <w:rPr>
          <w:rFonts w:hint="eastAsia" w:ascii="仿宋_GB2312" w:hAnsi="Calibri" w:eastAsia="仿宋_GB2312" w:cs="仿宋_GB2312"/>
          <w:b w:val="0"/>
          <w:bCs w:val="0"/>
          <w:color w:val="auto"/>
          <w:kern w:val="2"/>
          <w:sz w:val="30"/>
          <w:szCs w:val="30"/>
          <w:lang w:val="en-US" w:eastAsia="zh-CN" w:bidi="ar"/>
        </w:rPr>
      </w:pPr>
      <w:r>
        <w:rPr>
          <w:rFonts w:hint="eastAsia" w:ascii="仿宋_GB2312" w:hAnsi="Calibri" w:eastAsia="仿宋_GB2312" w:cs="仿宋_GB2312"/>
          <w:b w:val="0"/>
          <w:bCs w:val="0"/>
          <w:color w:val="auto"/>
          <w:kern w:val="2"/>
          <w:sz w:val="30"/>
          <w:szCs w:val="30"/>
          <w:lang w:val="en-US" w:eastAsia="zh-CN" w:bidi="ar"/>
        </w:rPr>
        <w:t>优先保障北京户口指标（针对有北京落户需求的）</w:t>
      </w:r>
    </w:p>
    <w:p w14:paraId="7180E131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/>
        <w:ind w:left="0" w:right="0" w:firstLine="600" w:firstLineChars="200"/>
        <w:jc w:val="both"/>
        <w:rPr>
          <w:rFonts w:hint="eastAsia" w:ascii="仿宋_GB2312" w:hAnsi="Calibri" w:eastAsia="仿宋_GB2312" w:cs="仿宋_GB2312"/>
          <w:b w:val="0"/>
          <w:bCs w:val="0"/>
          <w:color w:val="auto"/>
          <w:kern w:val="2"/>
          <w:sz w:val="30"/>
          <w:szCs w:val="30"/>
          <w:lang w:val="en-US" w:eastAsia="zh-CN" w:bidi="ar"/>
        </w:rPr>
      </w:pPr>
      <w:r>
        <w:rPr>
          <w:rFonts w:hint="eastAsia" w:ascii="仿宋_GB2312" w:hAnsi="Calibri" w:eastAsia="仿宋_GB2312" w:cs="仿宋_GB2312"/>
          <w:b w:val="0"/>
          <w:bCs w:val="0"/>
          <w:color w:val="auto"/>
          <w:kern w:val="2"/>
          <w:sz w:val="30"/>
          <w:szCs w:val="30"/>
          <w:lang w:val="en-US" w:eastAsia="zh-CN" w:bidi="ar"/>
        </w:rPr>
        <w:t>进入集团级高潜新苗库，系统跟踪培养</w:t>
      </w:r>
    </w:p>
    <w:p w14:paraId="4E239820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/>
        <w:ind w:left="0" w:right="0" w:firstLine="602" w:firstLineChars="200"/>
        <w:jc w:val="both"/>
        <w:rPr>
          <w:rFonts w:hint="eastAsia" w:ascii="仿宋_GB2312" w:hAnsi="Calibri" w:eastAsia="仿宋_GB2312" w:cs="仿宋_GB2312"/>
          <w:b/>
          <w:bCs/>
          <w:color w:val="auto"/>
          <w:kern w:val="2"/>
          <w:sz w:val="30"/>
          <w:szCs w:val="30"/>
          <w:lang w:val="en-US" w:eastAsia="zh-CN" w:bidi="ar"/>
        </w:rPr>
      </w:pPr>
      <w:r>
        <w:rPr>
          <w:rFonts w:hint="eastAsia" w:ascii="仿宋_GB2312" w:hAnsi="Calibri" w:eastAsia="仿宋_GB2312" w:cs="仿宋_GB2312"/>
          <w:b/>
          <w:bCs/>
          <w:color w:val="auto"/>
          <w:kern w:val="2"/>
          <w:sz w:val="30"/>
          <w:szCs w:val="30"/>
          <w:lang w:val="en-US" w:eastAsia="zh-CN" w:bidi="ar"/>
        </w:rPr>
        <w:t>参选要求</w:t>
      </w:r>
    </w:p>
    <w:p w14:paraId="445FA51C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/>
        <w:ind w:left="0" w:right="0" w:firstLine="602" w:firstLineChars="200"/>
        <w:jc w:val="both"/>
        <w:rPr>
          <w:rFonts w:hint="eastAsia" w:ascii="仿宋_GB2312" w:hAnsi="Calibri" w:eastAsia="仿宋_GB2312" w:cs="仿宋_GB2312"/>
          <w:b/>
          <w:bCs/>
          <w:color w:val="auto"/>
          <w:kern w:val="2"/>
          <w:sz w:val="30"/>
          <w:szCs w:val="30"/>
          <w:lang w:val="en-US" w:eastAsia="zh-CN" w:bidi="ar"/>
        </w:rPr>
      </w:pPr>
      <w:r>
        <w:rPr>
          <w:rFonts w:hint="eastAsia" w:ascii="仿宋_GB2312" w:hAnsi="Calibri" w:eastAsia="仿宋_GB2312" w:cs="仿宋_GB2312"/>
          <w:b/>
          <w:bCs/>
          <w:color w:val="auto"/>
          <w:kern w:val="2"/>
          <w:sz w:val="30"/>
          <w:szCs w:val="30"/>
          <w:lang w:val="en-US" w:eastAsia="zh-CN" w:bidi="ar"/>
        </w:rPr>
        <w:t>毕业于重点院校、对口专业</w:t>
      </w:r>
    </w:p>
    <w:p w14:paraId="6DC1239C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/>
        <w:ind w:left="0" w:right="0" w:firstLine="600" w:firstLineChars="200"/>
        <w:jc w:val="both"/>
        <w:rPr>
          <w:rFonts w:hint="eastAsia" w:ascii="仿宋_GB2312" w:hAnsi="Calibri" w:eastAsia="仿宋_GB2312" w:cs="仿宋_GB2312"/>
          <w:b w:val="0"/>
          <w:bCs w:val="0"/>
          <w:color w:val="auto"/>
          <w:kern w:val="2"/>
          <w:sz w:val="30"/>
          <w:szCs w:val="30"/>
          <w:lang w:val="en-US" w:eastAsia="zh-CN" w:bidi="ar"/>
        </w:rPr>
      </w:pPr>
      <w:r>
        <w:rPr>
          <w:rFonts w:hint="eastAsia" w:ascii="仿宋_GB2312" w:hAnsi="Calibri" w:eastAsia="仿宋_GB2312" w:cs="仿宋_GB2312"/>
          <w:b w:val="0"/>
          <w:bCs w:val="0"/>
          <w:color w:val="auto"/>
          <w:kern w:val="2"/>
          <w:sz w:val="30"/>
          <w:szCs w:val="30"/>
          <w:lang w:val="en-US" w:eastAsia="zh-CN" w:bidi="ar"/>
        </w:rPr>
        <w:t>具备高技术水平、高培养潜力、综合素质优异、追求卓越的优秀毕业生，特别是博士研究生</w:t>
      </w:r>
    </w:p>
    <w:p w14:paraId="23E37708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/>
        <w:ind w:left="0" w:right="0" w:firstLine="600" w:firstLineChars="200"/>
        <w:jc w:val="both"/>
        <w:rPr>
          <w:rFonts w:hint="eastAsia" w:ascii="仿宋_GB2312" w:hAnsi="Calibri" w:eastAsia="仿宋_GB2312" w:cs="仿宋_GB2312"/>
          <w:color w:val="auto"/>
          <w:kern w:val="2"/>
          <w:sz w:val="30"/>
          <w:szCs w:val="30"/>
          <w:lang w:val="en-US" w:eastAsia="zh-CN" w:bidi="ar"/>
        </w:rPr>
      </w:pPr>
      <w:r>
        <w:rPr>
          <w:rFonts w:hint="eastAsia" w:ascii="仿宋_GB2312" w:hAnsi="Calibri" w:eastAsia="仿宋_GB2312" w:cs="仿宋_GB2312"/>
          <w:b w:val="0"/>
          <w:bCs w:val="0"/>
          <w:color w:val="auto"/>
          <w:kern w:val="2"/>
          <w:sz w:val="30"/>
          <w:szCs w:val="30"/>
          <w:lang w:val="en-US" w:eastAsia="zh-CN" w:bidi="ar"/>
        </w:rPr>
        <w:t>在校期间获权威奖项、发明专利、高水平论文等成果者优先</w:t>
      </w:r>
    </w:p>
    <w:p w14:paraId="784454A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招聘对象</w:t>
      </w:r>
    </w:p>
    <w:p w14:paraId="506EA53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1、2027年应届硕博毕业生；</w:t>
      </w:r>
    </w:p>
    <w:p w14:paraId="2B1AF7FE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计算机相关</w:t>
      </w:r>
      <w:r>
        <w:rPr>
          <w:rFonts w:hint="default" w:ascii="仿宋_GB2312" w:hAnsi="仿宋_GB2312" w:eastAsia="仿宋_GB2312" w:cs="仿宋_GB2312"/>
          <w:color w:val="auto"/>
          <w:sz w:val="30"/>
          <w:szCs w:val="30"/>
          <w:lang w:eastAsia="zh-CN"/>
        </w:rPr>
        <w:t>、通信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相关</w:t>
      </w:r>
      <w:r>
        <w:rPr>
          <w:rFonts w:hint="default" w:ascii="仿宋_GB2312" w:hAnsi="仿宋_GB2312" w:eastAsia="仿宋_GB2312" w:cs="仿宋_GB2312"/>
          <w:color w:val="auto"/>
          <w:sz w:val="30"/>
          <w:szCs w:val="30"/>
          <w:lang w:eastAsia="zh-CN"/>
        </w:rPr>
        <w:t>、人工智能、电子信息、网络、信息安全、云计算、大数据、软件、硬件、自动化等理工类专业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；</w:t>
      </w:r>
    </w:p>
    <w:p w14:paraId="1386366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五、工作地点</w:t>
      </w:r>
    </w:p>
    <w:p w14:paraId="0A2BB13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北京、上海、广州、郑州</w:t>
      </w:r>
      <w:r>
        <w:rPr>
          <w:rFonts w:hint="default" w:ascii="仿宋_GB2312" w:hAnsi="仿宋_GB2312" w:eastAsia="仿宋_GB2312" w:cs="仿宋_GB2312"/>
          <w:color w:val="auto"/>
          <w:sz w:val="30"/>
          <w:szCs w:val="30"/>
          <w:lang w:eastAsia="zh-CN"/>
        </w:rPr>
        <w:t>等全国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15</w:t>
      </w:r>
      <w:r>
        <w:rPr>
          <w:rFonts w:hint="default" w:ascii="仿宋_GB2312" w:hAnsi="仿宋_GB2312" w:eastAsia="仿宋_GB2312" w:cs="仿宋_GB2312"/>
          <w:color w:val="auto"/>
          <w:sz w:val="30"/>
          <w:szCs w:val="30"/>
          <w:lang w:eastAsia="zh-CN"/>
        </w:rPr>
        <w:t>个城市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。</w:t>
      </w:r>
    </w:p>
    <w:bookmarkEnd w:id="4"/>
    <w:p w14:paraId="3F3EC99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六、“薪”动福利</w:t>
      </w:r>
    </w:p>
    <w:p w14:paraId="01155AFF">
      <w:pPr>
        <w:rPr>
          <w:rFonts w:ascii="仿宋" w:hAnsi="仿宋" w:eastAsia="仿宋"/>
          <w:b/>
          <w:bCs/>
          <w:color w:val="auto"/>
          <w:sz w:val="28"/>
          <w:szCs w:val="28"/>
        </w:rPr>
      </w:pPr>
      <w:r>
        <w:rPr>
          <w:rFonts w:hint="eastAsia" w:ascii="仿宋" w:hAnsi="仿宋" w:eastAsia="仿宋"/>
          <w:b/>
          <w:bCs/>
          <w:color w:val="auto"/>
          <w:sz w:val="28"/>
          <w:szCs w:val="28"/>
        </w:rPr>
        <w:t>广阔的发展平台</w:t>
      </w:r>
    </w:p>
    <w:p w14:paraId="6F4585E6">
      <w:pPr>
        <w:ind w:firstLine="560" w:firstLineChars="200"/>
        <w:rPr>
          <w:rFonts w:hint="eastAsia" w:ascii="仿宋" w:hAnsi="仿宋" w:eastAsia="仿宋"/>
          <w:color w:val="auto"/>
          <w:sz w:val="28"/>
          <w:szCs w:val="28"/>
          <w:lang w:eastAsia="zh-CN"/>
        </w:rPr>
      </w:pPr>
      <w:r>
        <w:rPr>
          <w:rFonts w:hint="eastAsia" w:ascii="仿宋" w:hAnsi="仿宋" w:eastAsia="仿宋"/>
          <w:color w:val="auto"/>
          <w:sz w:val="28"/>
          <w:szCs w:val="28"/>
        </w:rPr>
        <w:t>国资央企平台，立足战略大局，赋能青春成长</w:t>
      </w:r>
    </w:p>
    <w:p w14:paraId="18EC0620">
      <w:pPr>
        <w:rPr>
          <w:rFonts w:ascii="仿宋" w:hAnsi="仿宋" w:eastAsia="仿宋"/>
          <w:b/>
          <w:bCs/>
          <w:color w:val="auto"/>
          <w:sz w:val="28"/>
          <w:szCs w:val="28"/>
        </w:rPr>
      </w:pPr>
      <w:r>
        <w:rPr>
          <w:rFonts w:hint="eastAsia" w:ascii="仿宋" w:hAnsi="仿宋" w:eastAsia="仿宋"/>
          <w:b/>
          <w:bCs/>
          <w:color w:val="auto"/>
          <w:sz w:val="28"/>
          <w:szCs w:val="28"/>
        </w:rPr>
        <w:t>完善的薪酬福利</w:t>
      </w:r>
    </w:p>
    <w:p w14:paraId="69E1A1A9">
      <w:pPr>
        <w:ind w:firstLine="560" w:firstLineChars="200"/>
        <w:rPr>
          <w:rFonts w:hint="default" w:ascii="仿宋" w:hAnsi="仿宋" w:eastAsia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color w:val="auto"/>
          <w:sz w:val="28"/>
          <w:szCs w:val="28"/>
          <w:lang w:eastAsia="zh-CN"/>
        </w:rPr>
        <w:t>市场化薪酬水平，全方位</w:t>
      </w:r>
      <w:r>
        <w:rPr>
          <w:rFonts w:hint="eastAsia" w:ascii="仿宋" w:hAnsi="仿宋" w:eastAsia="仿宋"/>
          <w:color w:val="auto"/>
          <w:sz w:val="28"/>
          <w:szCs w:val="28"/>
          <w:lang w:val="en-US" w:eastAsia="zh-CN"/>
        </w:rPr>
        <w:t>八</w:t>
      </w:r>
      <w:r>
        <w:rPr>
          <w:rFonts w:hint="eastAsia" w:ascii="仿宋" w:hAnsi="仿宋" w:eastAsia="仿宋"/>
          <w:color w:val="auto"/>
          <w:sz w:val="28"/>
          <w:szCs w:val="28"/>
          <w:lang w:eastAsia="zh-CN"/>
        </w:rPr>
        <w:t>险二金，多元化弹性福利</w:t>
      </w:r>
    </w:p>
    <w:p w14:paraId="55FB9CFB">
      <w:pPr>
        <w:rPr>
          <w:rFonts w:ascii="仿宋" w:hAnsi="仿宋" w:eastAsia="仿宋"/>
          <w:b/>
          <w:bCs/>
          <w:color w:val="auto"/>
          <w:sz w:val="28"/>
          <w:szCs w:val="28"/>
        </w:rPr>
      </w:pPr>
      <w:r>
        <w:rPr>
          <w:rFonts w:hint="eastAsia" w:ascii="仿宋" w:hAnsi="仿宋" w:eastAsia="仿宋"/>
          <w:b/>
          <w:bCs/>
          <w:color w:val="auto"/>
          <w:sz w:val="28"/>
          <w:szCs w:val="28"/>
        </w:rPr>
        <w:t>暖心的员工关怀</w:t>
      </w:r>
    </w:p>
    <w:p w14:paraId="51C79222">
      <w:pPr>
        <w:ind w:firstLine="560" w:firstLineChars="200"/>
        <w:rPr>
          <w:rFonts w:ascii="仿宋" w:hAnsi="仿宋" w:eastAsia="仿宋"/>
          <w:color w:val="auto"/>
          <w:sz w:val="28"/>
          <w:szCs w:val="28"/>
        </w:rPr>
      </w:pPr>
      <w:r>
        <w:rPr>
          <w:rFonts w:hint="eastAsia" w:ascii="仿宋" w:hAnsi="仿宋" w:eastAsia="仿宋"/>
          <w:color w:val="auto"/>
          <w:sz w:val="28"/>
          <w:szCs w:val="28"/>
        </w:rPr>
        <w:t>交通补助、通信补助、餐费补助、防暑降温费、取暖费、</w:t>
      </w:r>
      <w:bookmarkStart w:id="2" w:name="OLE_LINK10"/>
      <w:r>
        <w:rPr>
          <w:rFonts w:hint="eastAsia" w:ascii="仿宋" w:hAnsi="仿宋" w:eastAsia="仿宋"/>
          <w:color w:val="auto"/>
          <w:sz w:val="28"/>
          <w:szCs w:val="28"/>
        </w:rPr>
        <w:t>过节费</w:t>
      </w:r>
      <w:bookmarkEnd w:id="2"/>
      <w:r>
        <w:rPr>
          <w:rFonts w:hint="eastAsia" w:ascii="仿宋" w:hAnsi="仿宋" w:eastAsia="仿宋"/>
          <w:color w:val="auto"/>
          <w:sz w:val="28"/>
          <w:szCs w:val="28"/>
        </w:rPr>
        <w:t>、生日慰问、</w:t>
      </w:r>
      <w:r>
        <w:rPr>
          <w:rFonts w:hint="eastAsia" w:ascii="仿宋" w:hAnsi="仿宋" w:eastAsia="仿宋"/>
          <w:color w:val="auto"/>
          <w:sz w:val="28"/>
          <w:szCs w:val="28"/>
          <w:lang w:eastAsia="zh-CN"/>
        </w:rPr>
        <w:t>免费</w:t>
      </w:r>
      <w:r>
        <w:rPr>
          <w:rFonts w:hint="eastAsia" w:ascii="仿宋" w:hAnsi="仿宋" w:eastAsia="仿宋"/>
          <w:color w:val="auto"/>
          <w:sz w:val="28"/>
          <w:szCs w:val="28"/>
        </w:rPr>
        <w:t>体检、子女医疗</w:t>
      </w:r>
      <w:r>
        <w:rPr>
          <w:rFonts w:hint="eastAsia" w:ascii="仿宋" w:hAnsi="仿宋" w:eastAsia="仿宋"/>
          <w:color w:val="auto"/>
          <w:sz w:val="28"/>
          <w:szCs w:val="28"/>
          <w:lang w:eastAsia="zh-CN"/>
        </w:rPr>
        <w:t>、暑期托班、带薪陪考假</w:t>
      </w:r>
      <w:r>
        <w:rPr>
          <w:rFonts w:hint="eastAsia" w:ascii="仿宋" w:hAnsi="仿宋" w:eastAsia="仿宋"/>
          <w:color w:val="auto"/>
          <w:sz w:val="28"/>
          <w:szCs w:val="28"/>
        </w:rPr>
        <w:t>等。</w:t>
      </w:r>
    </w:p>
    <w:p w14:paraId="2BBD3CA8">
      <w:pPr>
        <w:rPr>
          <w:rFonts w:hint="eastAsia" w:ascii="仿宋" w:hAnsi="仿宋" w:eastAsia="仿宋"/>
          <w:b/>
          <w:bCs/>
          <w:color w:val="auto"/>
          <w:sz w:val="28"/>
          <w:szCs w:val="28"/>
          <w:lang w:eastAsia="zh-CN"/>
        </w:rPr>
      </w:pPr>
      <w:r>
        <w:rPr>
          <w:rFonts w:hint="eastAsia" w:ascii="仿宋" w:hAnsi="仿宋" w:eastAsia="仿宋"/>
          <w:b/>
          <w:bCs/>
          <w:color w:val="auto"/>
          <w:sz w:val="28"/>
          <w:szCs w:val="28"/>
        </w:rPr>
        <w:t>完备的</w:t>
      </w:r>
      <w:r>
        <w:rPr>
          <w:rFonts w:hint="eastAsia" w:ascii="仿宋" w:hAnsi="仿宋" w:eastAsia="仿宋"/>
          <w:b/>
          <w:bCs/>
          <w:color w:val="auto"/>
          <w:sz w:val="28"/>
          <w:szCs w:val="28"/>
          <w:lang w:eastAsia="zh-CN"/>
        </w:rPr>
        <w:t>培养机制</w:t>
      </w:r>
    </w:p>
    <w:p w14:paraId="13513F73">
      <w:pPr>
        <w:ind w:firstLine="560" w:firstLineChars="200"/>
        <w:rPr>
          <w:rFonts w:hint="eastAsia" w:ascii="仿宋" w:hAnsi="仿宋" w:eastAsia="仿宋"/>
          <w:color w:val="auto"/>
          <w:sz w:val="28"/>
          <w:szCs w:val="28"/>
          <w:lang w:eastAsia="zh-CN"/>
        </w:rPr>
      </w:pPr>
      <w:r>
        <w:rPr>
          <w:rFonts w:hint="eastAsia" w:ascii="仿宋" w:hAnsi="仿宋" w:eastAsia="仿宋"/>
          <w:color w:val="auto"/>
          <w:sz w:val="28"/>
          <w:szCs w:val="28"/>
        </w:rPr>
        <w:t>完善培训体系，师徒结对赋能，多元平台育才</w:t>
      </w:r>
    </w:p>
    <w:p w14:paraId="2338FBE4">
      <w:pPr>
        <w:rPr>
          <w:rFonts w:hint="eastAsia" w:ascii="仿宋" w:hAnsi="仿宋" w:eastAsia="仿宋"/>
          <w:b/>
          <w:bCs/>
          <w:color w:val="auto"/>
          <w:sz w:val="28"/>
          <w:szCs w:val="28"/>
        </w:rPr>
      </w:pPr>
      <w:r>
        <w:rPr>
          <w:rFonts w:hint="eastAsia" w:ascii="仿宋" w:hAnsi="仿宋" w:eastAsia="仿宋"/>
          <w:b/>
          <w:bCs/>
          <w:color w:val="auto"/>
          <w:sz w:val="28"/>
          <w:szCs w:val="28"/>
        </w:rPr>
        <w:t>全面的职业发展体系</w:t>
      </w:r>
    </w:p>
    <w:p w14:paraId="78FF70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/>
          <w:color w:val="auto"/>
          <w:sz w:val="28"/>
          <w:szCs w:val="28"/>
        </w:rPr>
      </w:pPr>
      <w:r>
        <w:rPr>
          <w:rFonts w:hint="eastAsia" w:ascii="仿宋" w:hAnsi="仿宋" w:eastAsia="仿宋"/>
          <w:color w:val="auto"/>
          <w:sz w:val="28"/>
          <w:szCs w:val="28"/>
        </w:rPr>
        <w:t>三种晋升方式、九条晋升路径，向行业技术专家、卓越管理专家进发！</w:t>
      </w:r>
    </w:p>
    <w:p w14:paraId="047011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textAlignment w:val="auto"/>
        <w:rPr>
          <w:rFonts w:ascii="仿宋" w:hAnsi="仿宋" w:eastAsia="仿宋"/>
          <w:b/>
          <w:bCs/>
          <w:color w:val="auto"/>
          <w:sz w:val="28"/>
          <w:szCs w:val="28"/>
        </w:rPr>
      </w:pPr>
      <w:r>
        <w:rPr>
          <w:rFonts w:hint="eastAsia" w:ascii="仿宋" w:hAnsi="仿宋" w:eastAsia="仿宋"/>
          <w:b/>
          <w:bCs/>
          <w:color w:val="auto"/>
          <w:sz w:val="28"/>
          <w:szCs w:val="28"/>
        </w:rPr>
        <w:t>舒适的工作环境</w:t>
      </w:r>
    </w:p>
    <w:p w14:paraId="4A9A5BF5">
      <w:pPr>
        <w:ind w:firstLine="560" w:firstLineChars="200"/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color w:val="auto"/>
          <w:sz w:val="28"/>
          <w:szCs w:val="28"/>
        </w:rPr>
        <w:t>员工</w:t>
      </w:r>
      <w:r>
        <w:rPr>
          <w:rFonts w:hint="default" w:ascii="仿宋" w:hAnsi="仿宋" w:eastAsia="仿宋"/>
          <w:color w:val="auto"/>
          <w:sz w:val="28"/>
          <w:szCs w:val="28"/>
        </w:rPr>
        <w:t>自助</w:t>
      </w:r>
      <w:r>
        <w:rPr>
          <w:rFonts w:hint="eastAsia" w:ascii="仿宋" w:hAnsi="仿宋" w:eastAsia="仿宋"/>
          <w:color w:val="auto"/>
          <w:sz w:val="28"/>
          <w:szCs w:val="28"/>
        </w:rPr>
        <w:t>餐厅、咖啡厅、健身房、活动室、母婴室等</w:t>
      </w:r>
    </w:p>
    <w:p w14:paraId="1AF25A0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七、招聘流程</w:t>
      </w:r>
    </w:p>
    <w:p w14:paraId="037D522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网申—专业技术笔试&amp;基础能力笔试—面试（一到两轮）—职业风险测评-资格审核</w:t>
      </w:r>
      <w:r>
        <w:rPr>
          <w:rFonts w:hint="default" w:ascii="仿宋_GB2312" w:hAnsi="仿宋_GB2312" w:eastAsia="仿宋_GB2312" w:cs="仿宋_GB2312"/>
          <w:color w:val="auto"/>
          <w:sz w:val="30"/>
          <w:szCs w:val="30"/>
          <w:lang w:eastAsia="zh-CN"/>
        </w:rPr>
        <w:t>（含体检）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-签约</w:t>
      </w:r>
      <w:bookmarkStart w:id="3" w:name="OLE_LINK6"/>
    </w:p>
    <w:p w14:paraId="4E6D281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八</w:t>
      </w:r>
      <w:r>
        <w:rPr>
          <w:rFonts w:hint="default" w:ascii="仿宋_GB2312" w:hAnsi="仿宋_GB2312" w:eastAsia="仿宋_GB2312" w:cs="仿宋_GB2312"/>
          <w:color w:val="auto"/>
          <w:sz w:val="30"/>
          <w:szCs w:val="30"/>
          <w:lang w:eastAsia="zh-CN"/>
        </w:rPr>
        <w:t>、招聘岗位</w:t>
      </w:r>
    </w:p>
    <w:p w14:paraId="0106E90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扫描下方二维码可立即</w:t>
      </w:r>
      <w:r>
        <w:rPr>
          <w:rFonts w:hint="default" w:ascii="仿宋_GB2312" w:hAnsi="仿宋_GB2312" w:eastAsia="仿宋_GB2312" w:cs="仿宋_GB2312"/>
          <w:color w:val="auto"/>
          <w:sz w:val="30"/>
          <w:szCs w:val="30"/>
          <w:lang w:eastAsia="zh-CN"/>
        </w:rPr>
        <w:t>查看招聘岗位并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投递简历</w:t>
      </w:r>
    </w:p>
    <w:p w14:paraId="5187812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default" w:ascii="仿宋_GB2312" w:hAnsi="仿宋_GB2312" w:eastAsia="仿宋_GB2312" w:cs="仿宋_GB2312"/>
          <w:color w:val="auto"/>
          <w:sz w:val="30"/>
          <w:szCs w:val="30"/>
          <w:lang w:val="en-US" w:eastAsia="zh-CN"/>
        </w:rPr>
        <w:drawing>
          <wp:inline distT="0" distB="0" distL="114300" distR="114300">
            <wp:extent cx="3382645" cy="3910965"/>
            <wp:effectExtent l="0" t="0" r="1905" b="1905"/>
            <wp:docPr id="1" name="图片 1" descr="c05e3a21c5197ba3c8f8f4be339458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05e3a21c5197ba3c8f8f4be3394581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82645" cy="391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BFF12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color w:val="auto"/>
          <w:sz w:val="30"/>
          <w:szCs w:val="30"/>
          <w:lang w:val="en-US" w:eastAsia="zh-CN"/>
        </w:rPr>
        <w:drawing>
          <wp:inline distT="0" distB="0" distL="114300" distR="114300">
            <wp:extent cx="3810000" cy="3810000"/>
            <wp:effectExtent l="0" t="0" r="3810" b="3810"/>
            <wp:docPr id="2" name="图片 2" descr="5d318b81a4468b548e4c36979e4942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5d318b81a4468b548e4c36979e4942ab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bookmarkEnd w:id="3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02B1072"/>
    <w:multiLevelType w:val="singleLevel"/>
    <w:tmpl w:val="B02B1072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5750B415"/>
    <w:multiLevelType w:val="singleLevel"/>
    <w:tmpl w:val="5750B415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D21C7"/>
    <w:rsid w:val="00731C39"/>
    <w:rsid w:val="00887859"/>
    <w:rsid w:val="01891746"/>
    <w:rsid w:val="0403320B"/>
    <w:rsid w:val="056235DC"/>
    <w:rsid w:val="070E0055"/>
    <w:rsid w:val="072C3625"/>
    <w:rsid w:val="07C33F6B"/>
    <w:rsid w:val="086D7F6F"/>
    <w:rsid w:val="08D468C8"/>
    <w:rsid w:val="096E1C76"/>
    <w:rsid w:val="0A0343E4"/>
    <w:rsid w:val="0A2117B5"/>
    <w:rsid w:val="0BD2304A"/>
    <w:rsid w:val="0C3A0708"/>
    <w:rsid w:val="0CD750B5"/>
    <w:rsid w:val="0D575CDD"/>
    <w:rsid w:val="0DA37827"/>
    <w:rsid w:val="0E473E3E"/>
    <w:rsid w:val="0E663573"/>
    <w:rsid w:val="0EBC08AB"/>
    <w:rsid w:val="103353D4"/>
    <w:rsid w:val="107B6604"/>
    <w:rsid w:val="11D3607D"/>
    <w:rsid w:val="120B35B8"/>
    <w:rsid w:val="13086F98"/>
    <w:rsid w:val="14C0615B"/>
    <w:rsid w:val="156309A1"/>
    <w:rsid w:val="158133EB"/>
    <w:rsid w:val="16554AAD"/>
    <w:rsid w:val="17A10DBA"/>
    <w:rsid w:val="18DE065E"/>
    <w:rsid w:val="18E13A85"/>
    <w:rsid w:val="192669D4"/>
    <w:rsid w:val="19B84363"/>
    <w:rsid w:val="1A01501B"/>
    <w:rsid w:val="1B8706A9"/>
    <w:rsid w:val="1BB4216B"/>
    <w:rsid w:val="1C1B24AB"/>
    <w:rsid w:val="1C3627D4"/>
    <w:rsid w:val="1C883E14"/>
    <w:rsid w:val="1E647010"/>
    <w:rsid w:val="1EAD684B"/>
    <w:rsid w:val="1EF84B16"/>
    <w:rsid w:val="1F382C91"/>
    <w:rsid w:val="1F5D325E"/>
    <w:rsid w:val="1F9F2A31"/>
    <w:rsid w:val="20AA6AF8"/>
    <w:rsid w:val="21010D97"/>
    <w:rsid w:val="21DE75EF"/>
    <w:rsid w:val="23045076"/>
    <w:rsid w:val="231C74A6"/>
    <w:rsid w:val="24F679B4"/>
    <w:rsid w:val="24FF34BA"/>
    <w:rsid w:val="250D1D69"/>
    <w:rsid w:val="254D51A7"/>
    <w:rsid w:val="25592D8D"/>
    <w:rsid w:val="258C2ADF"/>
    <w:rsid w:val="26084BCF"/>
    <w:rsid w:val="262C6FD0"/>
    <w:rsid w:val="26536508"/>
    <w:rsid w:val="26D222A6"/>
    <w:rsid w:val="279C719C"/>
    <w:rsid w:val="28D64735"/>
    <w:rsid w:val="29D0774A"/>
    <w:rsid w:val="29E44899"/>
    <w:rsid w:val="2A143B66"/>
    <w:rsid w:val="2AD45D9D"/>
    <w:rsid w:val="2B456DA7"/>
    <w:rsid w:val="2B9663AB"/>
    <w:rsid w:val="2C36304D"/>
    <w:rsid w:val="2C822F41"/>
    <w:rsid w:val="2D7607BE"/>
    <w:rsid w:val="2D9673E1"/>
    <w:rsid w:val="2DDB52E3"/>
    <w:rsid w:val="2DE309AE"/>
    <w:rsid w:val="2DEA6A5E"/>
    <w:rsid w:val="2F146089"/>
    <w:rsid w:val="3124031B"/>
    <w:rsid w:val="32266C9E"/>
    <w:rsid w:val="324F4D76"/>
    <w:rsid w:val="32DB3F60"/>
    <w:rsid w:val="330A2B22"/>
    <w:rsid w:val="34563B66"/>
    <w:rsid w:val="347768B3"/>
    <w:rsid w:val="34DC7174"/>
    <w:rsid w:val="350E10C6"/>
    <w:rsid w:val="352452E1"/>
    <w:rsid w:val="35715E08"/>
    <w:rsid w:val="359C5C79"/>
    <w:rsid w:val="36E15CFC"/>
    <w:rsid w:val="36EE3E40"/>
    <w:rsid w:val="36F343E5"/>
    <w:rsid w:val="36F87B28"/>
    <w:rsid w:val="376312FC"/>
    <w:rsid w:val="37B37720"/>
    <w:rsid w:val="3901087F"/>
    <w:rsid w:val="393C0B80"/>
    <w:rsid w:val="39AC6231"/>
    <w:rsid w:val="39E01A62"/>
    <w:rsid w:val="3A010C30"/>
    <w:rsid w:val="3A2770D3"/>
    <w:rsid w:val="3A3B4F02"/>
    <w:rsid w:val="3B9C5262"/>
    <w:rsid w:val="3BC7104A"/>
    <w:rsid w:val="3BFD2C05"/>
    <w:rsid w:val="3C072851"/>
    <w:rsid w:val="3C0759C3"/>
    <w:rsid w:val="3C5B7CFF"/>
    <w:rsid w:val="3CF7B7F2"/>
    <w:rsid w:val="3F5FBCCF"/>
    <w:rsid w:val="3FEF5EC0"/>
    <w:rsid w:val="408C7219"/>
    <w:rsid w:val="40C12BF6"/>
    <w:rsid w:val="41110D33"/>
    <w:rsid w:val="41C272EC"/>
    <w:rsid w:val="42141200"/>
    <w:rsid w:val="425F6F74"/>
    <w:rsid w:val="42F00600"/>
    <w:rsid w:val="42F96572"/>
    <w:rsid w:val="444C545E"/>
    <w:rsid w:val="45180766"/>
    <w:rsid w:val="45FD0E9E"/>
    <w:rsid w:val="467C70BF"/>
    <w:rsid w:val="46FD7415"/>
    <w:rsid w:val="4842539A"/>
    <w:rsid w:val="4854735A"/>
    <w:rsid w:val="48700764"/>
    <w:rsid w:val="491263AD"/>
    <w:rsid w:val="49C65D6F"/>
    <w:rsid w:val="4A036168"/>
    <w:rsid w:val="4A6E5684"/>
    <w:rsid w:val="4B3C5115"/>
    <w:rsid w:val="4B5E5AAB"/>
    <w:rsid w:val="4BC341EB"/>
    <w:rsid w:val="4BCB4633"/>
    <w:rsid w:val="4BDB2B3D"/>
    <w:rsid w:val="4C6A2930"/>
    <w:rsid w:val="4E081894"/>
    <w:rsid w:val="4E197CC5"/>
    <w:rsid w:val="4E390B7D"/>
    <w:rsid w:val="4E3C0FE0"/>
    <w:rsid w:val="4E9B3CD1"/>
    <w:rsid w:val="4EA0160F"/>
    <w:rsid w:val="4EEF09F0"/>
    <w:rsid w:val="4F130B2E"/>
    <w:rsid w:val="50580333"/>
    <w:rsid w:val="51027456"/>
    <w:rsid w:val="51301EBC"/>
    <w:rsid w:val="517F1B2C"/>
    <w:rsid w:val="51E025D1"/>
    <w:rsid w:val="53966497"/>
    <w:rsid w:val="544B0A4E"/>
    <w:rsid w:val="551B0B2F"/>
    <w:rsid w:val="559D161A"/>
    <w:rsid w:val="57B57604"/>
    <w:rsid w:val="57BF33E8"/>
    <w:rsid w:val="58C77F15"/>
    <w:rsid w:val="59D07928"/>
    <w:rsid w:val="5B3D33F6"/>
    <w:rsid w:val="5BD1406F"/>
    <w:rsid w:val="5D3F5810"/>
    <w:rsid w:val="5E011045"/>
    <w:rsid w:val="5E317F48"/>
    <w:rsid w:val="5F1F7C91"/>
    <w:rsid w:val="5F572DD6"/>
    <w:rsid w:val="5F842C74"/>
    <w:rsid w:val="5FCE31A1"/>
    <w:rsid w:val="607D7CD0"/>
    <w:rsid w:val="619347BA"/>
    <w:rsid w:val="61DC2F3D"/>
    <w:rsid w:val="626A14F7"/>
    <w:rsid w:val="62A95E8D"/>
    <w:rsid w:val="62B720D6"/>
    <w:rsid w:val="62EC1E49"/>
    <w:rsid w:val="6312519C"/>
    <w:rsid w:val="632C65D0"/>
    <w:rsid w:val="63DE7A41"/>
    <w:rsid w:val="646D2589"/>
    <w:rsid w:val="647A7F9B"/>
    <w:rsid w:val="64BA058C"/>
    <w:rsid w:val="64CF6468"/>
    <w:rsid w:val="657E5C61"/>
    <w:rsid w:val="65B91E13"/>
    <w:rsid w:val="660760C6"/>
    <w:rsid w:val="666B7E7A"/>
    <w:rsid w:val="66BC03E5"/>
    <w:rsid w:val="6850410D"/>
    <w:rsid w:val="686038D5"/>
    <w:rsid w:val="688C2FAA"/>
    <w:rsid w:val="692339E4"/>
    <w:rsid w:val="6A024646"/>
    <w:rsid w:val="6A0C1D72"/>
    <w:rsid w:val="6C187A0D"/>
    <w:rsid w:val="6C53442B"/>
    <w:rsid w:val="6C9522D3"/>
    <w:rsid w:val="6D8D7F97"/>
    <w:rsid w:val="6E505EE6"/>
    <w:rsid w:val="6EEF2577"/>
    <w:rsid w:val="6F07367F"/>
    <w:rsid w:val="6F0F7CB8"/>
    <w:rsid w:val="6F374614"/>
    <w:rsid w:val="6FB33A5F"/>
    <w:rsid w:val="70CD39C6"/>
    <w:rsid w:val="710E151E"/>
    <w:rsid w:val="717254BD"/>
    <w:rsid w:val="73522A1A"/>
    <w:rsid w:val="738327FC"/>
    <w:rsid w:val="73995DC9"/>
    <w:rsid w:val="73B15E02"/>
    <w:rsid w:val="73BE30CF"/>
    <w:rsid w:val="74F52DEB"/>
    <w:rsid w:val="74F754DE"/>
    <w:rsid w:val="7529353E"/>
    <w:rsid w:val="75E16805"/>
    <w:rsid w:val="75EC3916"/>
    <w:rsid w:val="763968EB"/>
    <w:rsid w:val="76BC7F72"/>
    <w:rsid w:val="77244B92"/>
    <w:rsid w:val="782650D4"/>
    <w:rsid w:val="782908A1"/>
    <w:rsid w:val="78374C41"/>
    <w:rsid w:val="79C3777C"/>
    <w:rsid w:val="7A6672D7"/>
    <w:rsid w:val="7AB90760"/>
    <w:rsid w:val="7AED4AA0"/>
    <w:rsid w:val="7AFF3578"/>
    <w:rsid w:val="7B3F38B0"/>
    <w:rsid w:val="7B4D4A8B"/>
    <w:rsid w:val="7B967503"/>
    <w:rsid w:val="7BA65F93"/>
    <w:rsid w:val="7C19194E"/>
    <w:rsid w:val="7C220DC7"/>
    <w:rsid w:val="7C38388D"/>
    <w:rsid w:val="7C3B52A5"/>
    <w:rsid w:val="7CCC3B9F"/>
    <w:rsid w:val="7D7C6020"/>
    <w:rsid w:val="7D8514BD"/>
    <w:rsid w:val="7DDB5920"/>
    <w:rsid w:val="7DFF5B4A"/>
    <w:rsid w:val="7E375F09"/>
    <w:rsid w:val="7ED171B7"/>
    <w:rsid w:val="7F220637"/>
    <w:rsid w:val="7FD520AB"/>
    <w:rsid w:val="7FDE0C1A"/>
    <w:rsid w:val="A7DD025D"/>
    <w:rsid w:val="BFFBCB0B"/>
    <w:rsid w:val="DFB63C22"/>
    <w:rsid w:val="EB712112"/>
    <w:rsid w:val="FDF6ED54"/>
    <w:rsid w:val="FF27D517"/>
    <w:rsid w:val="FFFF6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1254</Words>
  <Characters>1286</Characters>
  <Lines>0</Lines>
  <Paragraphs>0</Paragraphs>
  <TotalTime>231</TotalTime>
  <ScaleCrop>false</ScaleCrop>
  <LinksUpToDate>false</LinksUpToDate>
  <CharactersWithSpaces>1288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2022-11-21T17:18:00Z</dcterms:created>
  <dc:creator>jhr</dc:creator>
  <cp:lastModifiedBy>如果……</cp:lastModifiedBy>
  <dcterms:modified xsi:type="dcterms:W3CDTF">2026-10-09T06:16:08Z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CCDA27917DA54C9AB1F4FE2B9E2E1D24_13</vt:lpwstr>
  </property>
  <property fmtid="{D5CDD505-2E9C-101B-9397-08002B2CF9AE}" pid="4" name="KSOTemplateDocerSaveRecord">
    <vt:lpwstr>eyJoZGlkIjoiYmQwODc1ODU2OGY3NWQ3ZDVjNTM3ODZjYWJiYTg0ZGEiLCJ1c2VySWQiOiIzODQ3ODE4MjMifQ==</vt:lpwstr>
  </property>
</Properties>
</file>